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BIJLAGE XX — Instructies voor de openbaarmaking van het gebruik van de standaardbenadering voor kredietrisico (met uitzondering van tegenpartijkredietrisico en securitisatieposities)</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Instrumenten waarop de vereisten van deel drie, titel II, hoofdstuk 6, van Verordening (EU) nr. 575/2013</w:t>
      </w:r>
      <w:r w:rsidR="00166E0C" w:rsidRPr="00BC439A">
        <w:rPr>
          <w:rStyle w:val="FootnoteReference"/>
          <w:rFonts w:ascii="Times New Roman" w:hAnsi="Times New Roman"/>
        </w:rPr>
        <w:footnoteReference w:id="2"/>
      </w:r>
      <w:r>
        <w:rPr>
          <w:rFonts w:ascii="Times New Roman" w:hAnsi="Times New Roman"/>
          <w:sz w:val="24"/>
        </w:rPr>
        <w:t xml:space="preserve"> (CCR-blootstellingen) van toepassing zijn, evenals instrumenten waarop de vereisten van deel drie, titel II, hoofdstuk 5, van Verordening (EU) nr. 575/2013 (securitisatieblootstellingen) van toepassing zijn, vallen niet onder de templates waarvoor in deze bijlage instructies worden gegeven.</w:t>
      </w:r>
    </w:p>
    <w:p w14:paraId="137E3946" w14:textId="77777777" w:rsidR="0005278F" w:rsidRPr="00BC439A" w:rsidRDefault="0005278F" w:rsidP="0005278F">
      <w:pPr>
        <w:spacing w:after="120"/>
        <w:rPr>
          <w:rFonts w:ascii="Times New Roman" w:hAnsi="Times New Roman" w:cs="Times New Roman"/>
          <w:b/>
          <w:sz w:val="24"/>
        </w:rPr>
      </w:pPr>
      <w:r>
        <w:rPr>
          <w:rFonts w:ascii="Times New Roman" w:hAnsi="Times New Roman"/>
          <w:b/>
          <w:sz w:val="24"/>
        </w:rPr>
        <w:t xml:space="preserve">Tabel EU CRD – Kwalitatieve openbaarmakingsvereisten met betrekking tot standaardbenadering. </w:t>
      </w:r>
      <w:r>
        <w:rPr>
          <w:rFonts w:ascii="Times New Roman" w:hAnsi="Times New Roman"/>
          <w:sz w:val="24"/>
        </w:rPr>
        <w:t>Flexibele opmaak</w:t>
      </w:r>
    </w:p>
    <w:p w14:paraId="137E3947" w14:textId="5594AA8B"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Pr>
          <w:rFonts w:ascii="Times New Roman" w:hAnsi="Times New Roman"/>
          <w:sz w:val="24"/>
        </w:rPr>
        <w:t>Instellingen maken de informatie bedoeld in artikel 444, punten a) tot en met d), van Verordening (EU) nr. 575/2013 openbaar door aan de hand van de volgende instructies in deze bijlage template EU CRD in bijlage XIX bij de IT-oplossingen van EBA in te vullen.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Rij</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Referentie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Verwijzing naar wetgeving en instructies</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Toelichting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a)</w:t>
            </w:r>
          </w:p>
        </w:tc>
        <w:tc>
          <w:tcPr>
            <w:tcW w:w="3118" w:type="dxa"/>
            <w:tcBorders>
              <w:top w:val="single" w:sz="4" w:space="0" w:color="auto"/>
              <w:left w:val="single" w:sz="4" w:space="0" w:color="auto"/>
              <w:right w:val="single" w:sz="4" w:space="0" w:color="auto"/>
            </w:tcBorders>
          </w:tcPr>
          <w:p w14:paraId="137E3950" w14:textId="77777777" w:rsidR="0005278F" w:rsidRPr="001E793F" w:rsidRDefault="0005278F" w:rsidP="004F3087">
            <w:pPr>
              <w:spacing w:after="120"/>
              <w:jc w:val="both"/>
              <w:rPr>
                <w:rFonts w:ascii="Times New Roman" w:hAnsi="Times New Roman" w:cs="Times New Roman"/>
                <w:sz w:val="24"/>
                <w:lang w:val="nl-NL"/>
              </w:rPr>
            </w:pPr>
            <w:r w:rsidRPr="001E793F">
              <w:rPr>
                <w:rFonts w:ascii="Times New Roman" w:hAnsi="Times New Roman"/>
                <w:sz w:val="24"/>
                <w:lang w:val="nl-NL"/>
              </w:rPr>
              <w:t>Artikel 444, punt a), van Verordening (EU) nr. 575/2013</w:t>
            </w:r>
          </w:p>
        </w:tc>
        <w:tc>
          <w:tcPr>
            <w:tcW w:w="4546" w:type="dxa"/>
            <w:tcBorders>
              <w:top w:val="single" w:sz="4" w:space="0" w:color="auto"/>
              <w:left w:val="single" w:sz="4" w:space="0" w:color="auto"/>
              <w:right w:val="single" w:sz="4" w:space="0" w:color="auto"/>
            </w:tcBorders>
          </w:tcPr>
          <w:p w14:paraId="137E3951" w14:textId="77777777" w:rsidR="0005278F" w:rsidRPr="001E793F" w:rsidRDefault="0005278F" w:rsidP="004F3087">
            <w:pPr>
              <w:spacing w:after="120"/>
              <w:jc w:val="both"/>
              <w:rPr>
                <w:rFonts w:ascii="Times New Roman" w:hAnsi="Times New Roman" w:cs="Times New Roman"/>
                <w:sz w:val="24"/>
                <w:lang w:val="nl-NL"/>
              </w:rPr>
            </w:pPr>
            <w:r w:rsidRPr="001E793F">
              <w:rPr>
                <w:rFonts w:ascii="Times New Roman" w:hAnsi="Times New Roman"/>
                <w:sz w:val="24"/>
                <w:lang w:val="nl-NL"/>
              </w:rPr>
              <w:t xml:space="preserve">Instellingen vermelden de namen van de aangewezen externe kredietbeoordelingsinstellingen (EKBI’s) en van de gebruikte exportkredietinstellingen (ECA’s) die zijn gebruikt, evenals de redenen voor eventuele wijzigingen in die aanwijzingen in de openbaarmakingsperiode.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t>b)</w:t>
            </w:r>
          </w:p>
        </w:tc>
        <w:tc>
          <w:tcPr>
            <w:tcW w:w="3118" w:type="dxa"/>
          </w:tcPr>
          <w:p w14:paraId="137E3954" w14:textId="77777777" w:rsidR="0005278F" w:rsidRPr="001E793F" w:rsidRDefault="0005278F" w:rsidP="004F3087">
            <w:pPr>
              <w:spacing w:after="120"/>
              <w:jc w:val="both"/>
              <w:rPr>
                <w:rFonts w:ascii="Times New Roman" w:hAnsi="Times New Roman" w:cs="Times New Roman"/>
                <w:sz w:val="24"/>
                <w:lang w:val="nl-NL"/>
              </w:rPr>
            </w:pPr>
            <w:r w:rsidRPr="001E793F">
              <w:rPr>
                <w:rFonts w:ascii="Times New Roman" w:hAnsi="Times New Roman"/>
                <w:sz w:val="24"/>
                <w:lang w:val="nl-NL"/>
              </w:rPr>
              <w:t>Artikel 444, punt b), van Verordening (EU) nr. 575/2013</w:t>
            </w:r>
          </w:p>
        </w:tc>
        <w:tc>
          <w:tcPr>
            <w:tcW w:w="4546" w:type="dxa"/>
          </w:tcPr>
          <w:p w14:paraId="137E3955" w14:textId="116E6D70" w:rsidR="0005278F" w:rsidRPr="001E793F" w:rsidRDefault="0005278F">
            <w:pPr>
              <w:spacing w:after="120"/>
              <w:jc w:val="both"/>
              <w:rPr>
                <w:rFonts w:ascii="Times New Roman" w:hAnsi="Times New Roman" w:cs="Times New Roman"/>
                <w:sz w:val="24"/>
                <w:lang w:val="nl-NL"/>
              </w:rPr>
            </w:pPr>
            <w:r w:rsidRPr="001E793F">
              <w:rPr>
                <w:rFonts w:ascii="Times New Roman" w:hAnsi="Times New Roman"/>
                <w:sz w:val="24"/>
                <w:lang w:val="nl-NL"/>
              </w:rPr>
              <w:t xml:space="preserve">Instellingen vermelden de in artikel 112 van Verordening (EU) nr. 575/2013 gespecificeerde blootstellingscategorieën, waarvoor instellingen de risicogewogen posten berekenen overeenkomstig deel drie, titel II, hoofdstuk 2, van Verordening (EU) nr. 575/2013 met behulp van de kredietbeoordeling van de aangewezen EKBI of ECA.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rFonts w:ascii="Times New Roman" w:hAnsi="Times New Roman" w:cs="Times New Roman"/>
                <w:sz w:val="24"/>
              </w:rPr>
            </w:pPr>
            <w:r>
              <w:rPr>
                <w:rFonts w:ascii="Times New Roman" w:hAnsi="Times New Roman"/>
              </w:rPr>
              <w:t>c)</w:t>
            </w:r>
          </w:p>
        </w:tc>
        <w:tc>
          <w:tcPr>
            <w:tcW w:w="3118" w:type="dxa"/>
          </w:tcPr>
          <w:p w14:paraId="137E3958" w14:textId="77777777" w:rsidR="0005278F" w:rsidRPr="001E793F" w:rsidRDefault="0005278F" w:rsidP="004F3087">
            <w:pPr>
              <w:spacing w:after="120"/>
              <w:jc w:val="both"/>
              <w:rPr>
                <w:rFonts w:ascii="Times New Roman" w:hAnsi="Times New Roman" w:cs="Times New Roman"/>
                <w:sz w:val="24"/>
                <w:lang w:val="nl-NL"/>
              </w:rPr>
            </w:pPr>
            <w:r w:rsidRPr="001E793F">
              <w:rPr>
                <w:rFonts w:ascii="Times New Roman" w:hAnsi="Times New Roman"/>
                <w:sz w:val="24"/>
                <w:lang w:val="nl-NL"/>
              </w:rPr>
              <w:t>Artikel 444, punt c), van Verordening (EU) nr. 575/2013</w:t>
            </w:r>
          </w:p>
        </w:tc>
        <w:tc>
          <w:tcPr>
            <w:tcW w:w="4546" w:type="dxa"/>
          </w:tcPr>
          <w:p w14:paraId="137E3959" w14:textId="5469201A" w:rsidR="0005278F" w:rsidRPr="001E793F" w:rsidDel="00915DC9" w:rsidRDefault="0005278F" w:rsidP="004F3087">
            <w:pPr>
              <w:spacing w:after="120"/>
              <w:jc w:val="both"/>
              <w:rPr>
                <w:rFonts w:ascii="Times New Roman" w:hAnsi="Times New Roman" w:cs="Times New Roman"/>
                <w:sz w:val="24"/>
                <w:lang w:val="nl-NL"/>
              </w:rPr>
            </w:pPr>
            <w:r w:rsidRPr="001E793F">
              <w:rPr>
                <w:rFonts w:ascii="Times New Roman" w:hAnsi="Times New Roman"/>
                <w:sz w:val="24"/>
                <w:lang w:val="nl-NL"/>
              </w:rPr>
              <w:t>Als een uitgevende instelling of een emissiekredietbeoordeling wordt gebruikt om het risicogewicht te bepalen dat moet worden toegewezen aan een blootstelling die niet in de handelsportefeuille is opgenomen overeenkomstig deel drie, titel II, hoofdstuk 2, artikel 139, van Verordening (EU) nr. 575/2013, beschrijven de instellingen het gevolgde proces.</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rFonts w:ascii="Times New Roman" w:hAnsi="Times New Roman" w:cs="Times New Roman"/>
                <w:sz w:val="24"/>
              </w:rPr>
            </w:pPr>
            <w:r>
              <w:rPr>
                <w:rFonts w:ascii="Times New Roman" w:hAnsi="Times New Roman"/>
              </w:rPr>
              <w:lastRenderedPageBreak/>
              <w:t>d)</w:t>
            </w:r>
          </w:p>
        </w:tc>
        <w:tc>
          <w:tcPr>
            <w:tcW w:w="3118" w:type="dxa"/>
          </w:tcPr>
          <w:p w14:paraId="137E395C" w14:textId="77777777" w:rsidR="0005278F" w:rsidRPr="001E793F" w:rsidRDefault="0005278F" w:rsidP="004F3087">
            <w:pPr>
              <w:spacing w:after="120"/>
              <w:jc w:val="both"/>
              <w:rPr>
                <w:rFonts w:ascii="Times New Roman" w:hAnsi="Times New Roman" w:cs="Times New Roman"/>
                <w:sz w:val="24"/>
                <w:lang w:val="nl-NL"/>
              </w:rPr>
            </w:pPr>
            <w:r w:rsidRPr="001E793F">
              <w:rPr>
                <w:rFonts w:ascii="Times New Roman" w:hAnsi="Times New Roman"/>
                <w:sz w:val="24"/>
                <w:lang w:val="nl-NL"/>
              </w:rPr>
              <w:t>Artikel 444, punt d), van Verordening (EU) nr. 575/2013</w:t>
            </w:r>
          </w:p>
        </w:tc>
        <w:tc>
          <w:tcPr>
            <w:tcW w:w="4546" w:type="dxa"/>
          </w:tcPr>
          <w:p w14:paraId="137E395D" w14:textId="60016B0C" w:rsidR="0005278F" w:rsidRPr="001E793F" w:rsidRDefault="0005278F">
            <w:pPr>
              <w:spacing w:after="120"/>
              <w:jc w:val="both"/>
              <w:rPr>
                <w:rFonts w:ascii="Times New Roman" w:hAnsi="Times New Roman" w:cs="Times New Roman"/>
                <w:sz w:val="24"/>
                <w:lang w:val="nl-NL"/>
              </w:rPr>
            </w:pPr>
            <w:r w:rsidRPr="001E793F">
              <w:rPr>
                <w:rFonts w:ascii="Times New Roman" w:hAnsi="Times New Roman"/>
                <w:sz w:val="24"/>
                <w:lang w:val="nl-NL"/>
              </w:rPr>
              <w:t xml:space="preserve">Instellingen vermelden voor elk van de in artikel 112 van Verordening (EU) nr. 575/2013 gespecificeerde blootstellingscategorieën de alfanumerieke schaal van elke aangewezen EKBI/ECA (als bedoeld in rij a) van deze template) met de risicogewichten die overeenstemmen met de kredietkwaliteitscategorieën bepaald in deel drie, titel II, hoofdstuk 2, van Verordening (EU) nr. 575/2013, behalve waar de instelling voldoet aan de door de EBA gepubliceerde standaardindeling.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Template EU CR4: Kredietrisicoblootstelling en kredietrisicolimiteringseffecten.</w:t>
      </w:r>
      <w:r>
        <w:rPr>
          <w:rFonts w:ascii="Times New Roman" w:hAnsi="Times New Roman"/>
          <w:sz w:val="24"/>
        </w:rPr>
        <w:t xml:space="preserve"> Vaste opmaak</w:t>
      </w:r>
    </w:p>
    <w:p w14:paraId="137E3962" w14:textId="789BFD53"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Pr>
          <w:rFonts w:ascii="Times New Roman" w:hAnsi="Times New Roman"/>
          <w:sz w:val="24"/>
        </w:rPr>
        <w:t>Instellingen die de risicogewogen posten voor kredietrisico berekenen overeenkomstig deel drie, titel II, hoofdstuk 2, van Verordening (EU) nr. 575/2013, maken de in artikel 453, punten g), h) en i), en artikel 444, punt e), van Verordening (EU) nr. 575/2013 openbaar door aan de hand van de volgende instructies in deze bijlage template EU CR4 in bijlage XIX bij de IT-oplossingen van de EBA in te vullen.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Kolom</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Verwijzingen naar wetgeving en instructies</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Toelichting</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Blootstellingen vóór omrekeningsfactoren en vóór kredietrisicolimitering — Blootstellingen binnen de balanstelling: </w:t>
            </w:r>
          </w:p>
          <w:p w14:paraId="137E396B" w14:textId="70539396"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Instellingen vermelden de waarde van de blootstelling binnen de balanstelling binnen het toepassingsgebied van de prudentiële consolidatie overeenkomstig artikel 111 van Verordening (EU) nr. 575/2013, na specifieke kredietrisicoaanpassingen overeenkomstig artikel 110 van Verordening (EU) nr. 575/2013, aanvullende waardeaanpassingen overeenkomstig de artikelen 34 en 105 van Verordening (EU) nr. 575/2013, afgetrokken bedragen overeenkomstig artikel 36, lid 1, punt m), van Verordening (EU) nr. 575/2013, andere eigenvermogensverlagingen en afschrijvingen (zoals omschreven in het toepasselijke kader voor financiële verslaggeving), maar vóór i) de toepassing van kredietomrekeningsfactoren zoals gespecificeerd in hetzelfde artikel, en ii) de toepassing van de in deel drie, titel II, hoofdstuk 4, van Verordening (EU) nr. 575/2013 gespecificeerde kredietrisicolimiteringstechnieken. Op de blootstellingswaarden voor leaseovereenkomsten is artikel 134, lid 7, van Verordening (EU) nr. 575/2013 van toepassing.</w:t>
            </w:r>
            <w:r>
              <w:rPr>
                <w:rFonts w:ascii="Times New Roman" w:hAnsi="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b</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Blootstellingen vóór omrekeningsfactoren en vóór kredietrisicolimitering — Blootstellingen buiten de balanstelling:</w:t>
            </w:r>
          </w:p>
          <w:p w14:paraId="137E396F" w14:textId="70A24ABD"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xml:space="preserve">Instellingen vermelden de waarde van de blootstelling buiten de balanstelling binnen het toepassingsgebied van de prudentiële consolidatie, na aftrek van specifieke kredietrisicoaanpassingen en afgetrokken bedragen </w:t>
            </w:r>
            <w:r>
              <w:rPr>
                <w:rFonts w:ascii="Times New Roman" w:hAnsi="Times New Roman"/>
                <w:sz w:val="24"/>
              </w:rPr>
              <w:lastRenderedPageBreak/>
              <w:t>overeenkomstig artikel 36, lid 1, punt m), van Verordening (EU) nr. 575/2013, maar vóór de toepassing van kredietomrekeningsfactoren overeenkomstig artikel 111 van Verordening (EU) nr. 575/2013 en vóór het effect van kredietrisicolimiteringstechnieken (overeenkomstig deel drie, titel II, hoofdstuk 4, van Verordening (EU) nr. 575/2013).</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c</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Blootstellingen na omrekeningsfactoren en na kredietrisicolimitering — Blootstellingen binnen de balanstelling: </w:t>
            </w:r>
          </w:p>
          <w:p w14:paraId="137E3973" w14:textId="3965907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Instellingen vermelden het bedrag van de waarde van de blootstelling binnen de balanstelling binnen het toepassingsgebied van de prudentiële consolidatie overeenkomstig artikel 111 van Verordening (EU) nr. 575/2013, na specifieke kredietrisicoaanpassingen overeenkomstig artikel 110 van Verordening (EU) nr. 575/2013, aanvullende waardeaanpassingen overeenkomstig de artikelen 34 en 105 van Verordening (EU) nr. 575/2013, afgetrokken bedragen overeenkomstig artikel 36, lid 1, punt m), van Verordening (EU) nr. 575/2013, andere eigenvermogensverlagingen en afschrijvingen (zoals omschreven in het toepasselijke kader voor financiële verslaggeving), na toepassing van alle kredietrisicoaanpassingen en kredietomrekeningsfactoren. Dit is het bedrag waarop de risicogewichten (overeenkomstig artikel 113 van Verordening (EU) nr. 575/2013 en deel drie, titel II, hoofdstuk 2, afdeling 2, van Verordening (EU) nr. 575/2013) worden toegepast. Het is een nettokredietequivalent, na toepassing van kredietrisicolimiteringstechnieken en omrekeningsfactoren.</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d</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Blootstellingen na omrekeningsfactoren en na kredietrisicolimitering — Blootstellingen buiten de balanstelling: </w:t>
            </w:r>
          </w:p>
          <w:p w14:paraId="137E3977" w14:textId="3A31757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Instellingen vermelden het bedrag van de waarde van de blootstelling buiten de balanstelling na inaanmerkingneming van specifieke kredietrisicoaanpassingen als omschreven in Gedelegeerde Verordening (EU) nr. 183/2014 van de Commissie</w:t>
            </w:r>
            <w:r w:rsidRPr="00166E0C">
              <w:rPr>
                <w:rStyle w:val="FootnoteReference"/>
                <w:rFonts w:ascii="Times New Roman" w:eastAsia="Times New Roman" w:hAnsi="Times New Roman" w:cs="Times New Roman"/>
              </w:rPr>
              <w:footnoteReference w:id="3"/>
            </w:r>
            <w:r>
              <w:rPr>
                <w:rFonts w:ascii="Times New Roman" w:hAnsi="Times New Roman"/>
                <w:sz w:val="24"/>
              </w:rPr>
              <w:t>, aanvullende waardeaanpassingen en andere eigenvermogensverlagingen, na toepassing van alle kredietrisicolimiterings- en kredietomrekeningsfactoren. Dit is het bedrag waarop de risicogewichten (overeenkomstig artikel 113 van Verordening (EU) nr. 575/2013 en deel drie, titel II, hoofdstuk 2, afdeling 2, van Verordening (EU) nr. 575/2013) worden toegepast. Het is een nettokredietequivalent, na toepassing van kredietrisicolimiteringstechnieken en omrekeningsfactoren.</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Risicogewogen posten</w:t>
            </w:r>
          </w:p>
          <w:p w14:paraId="137E397B" w14:textId="1F9983D6"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De risicogewogen posten worden berekend overeenkomstig deel drie, titel II, hoofdstuk 2, afdeling 2, van Verordening (EU) nr. 575/2013.</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Densiteit risicogewogen posten</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(Kolom e/kolommen(c+d) van deze template)</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De ratio wordt berekend door de risicogewogen posten van de respectieve blootstellingscategorie (kolom e van deze template) te delen door het bedrag van de respectieve blootstellingen na inaanmerkingneming van alle </w:t>
            </w:r>
            <w:r>
              <w:rPr>
                <w:rFonts w:ascii="Times New Roman" w:hAnsi="Times New Roman"/>
                <w:sz w:val="24"/>
              </w:rPr>
              <w:lastRenderedPageBreak/>
              <w:t>risicolimiterende en kredietomrekeningsfactoren (som van de bedragen in de kolommen c en d van deze template).</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32"/>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Pr>
                <w:rFonts w:ascii="Times New Roman" w:hAnsi="Times New Roman"/>
                <w:b/>
                <w:sz w:val="24"/>
              </w:rPr>
              <w:t>Verwijzingen naar wetgeving en instructies</w:t>
            </w:r>
          </w:p>
        </w:tc>
      </w:tr>
      <w:tr w:rsidR="00535F36" w:rsidRPr="00BC439A" w14:paraId="15637106" w14:textId="77777777" w:rsidTr="002623A2">
        <w:trPr>
          <w:trHeight w:val="336"/>
        </w:trPr>
        <w:tc>
          <w:tcPr>
            <w:tcW w:w="1435"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Rijnummer</w:t>
            </w:r>
          </w:p>
        </w:tc>
        <w:tc>
          <w:tcPr>
            <w:tcW w:w="7632"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535F36" w:rsidRPr="00BC439A" w14:paraId="7FCC92DA" w14:textId="77777777" w:rsidTr="002623A2">
        <w:trPr>
          <w:trHeight w:val="699"/>
        </w:trPr>
        <w:tc>
          <w:tcPr>
            <w:tcW w:w="1435" w:type="dxa"/>
            <w:shd w:val="clear" w:color="auto" w:fill="auto"/>
          </w:tcPr>
          <w:p w14:paraId="22F3AEC0" w14:textId="3F00C73A" w:rsidR="00535F36" w:rsidRPr="002623A2" w:rsidRDefault="00926A01" w:rsidP="00FB64CF">
            <w:pPr>
              <w:autoSpaceDE w:val="0"/>
              <w:autoSpaceDN w:val="0"/>
              <w:adjustRightInd w:val="0"/>
              <w:spacing w:after="120"/>
              <w:rPr>
                <w:rFonts w:ascii="Times New Roman" w:eastAsia="Times New Roman" w:hAnsi="Times New Roman" w:cs="Times New Roman"/>
                <w:sz w:val="24"/>
                <w:lang w:val="fr-BE"/>
              </w:rPr>
            </w:pPr>
            <w:r w:rsidRPr="002623A2">
              <w:rPr>
                <w:rFonts w:ascii="Times New Roman" w:hAnsi="Times New Roman"/>
                <w:sz w:val="24"/>
                <w:lang w:val="fr-BE"/>
              </w:rPr>
              <w:t xml:space="preserve">1, EU 2a, EU2b, 3, EU 3a, 4, 5, 6, EU 7a, EU 7b, 8, 9, 10, EU 10a, EU 10b, EU 10c </w:t>
            </w:r>
          </w:p>
        </w:tc>
        <w:tc>
          <w:tcPr>
            <w:tcW w:w="7632"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Pr>
                <w:rFonts w:ascii="Times New Roman" w:hAnsi="Times New Roman"/>
                <w:sz w:val="24"/>
              </w:rPr>
              <w:t xml:space="preserve">De blootstellingscategorieën zoals gedefinieerd overeenkomstig artikel 112 van Verordening (EU) nr. 575/2013. </w:t>
            </w:r>
          </w:p>
          <w:p w14:paraId="4E391AF9" w14:textId="6574451E" w:rsidR="00535F36" w:rsidRPr="00BC439A" w:rsidRDefault="5682D6C4" w:rsidP="5A0D947F">
            <w:pPr>
              <w:spacing w:after="120"/>
              <w:jc w:val="both"/>
              <w:rPr>
                <w:rFonts w:ascii="Times New Roman" w:eastAsia="Times New Roman" w:hAnsi="Times New Roman" w:cs="Times New Roman"/>
                <w:sz w:val="24"/>
              </w:rPr>
            </w:pPr>
            <w:r>
              <w:rPr>
                <w:rFonts w:ascii="Times New Roman" w:hAnsi="Times New Roman"/>
                <w:sz w:val="24"/>
              </w:rPr>
              <w:t>Blootstellingen toegewezen aan de in artikel 112, punt m), van Verordening (EU) nr. 575/2013 genoemde blootstellingscategorie “posten die securitisatieposities vertegenwoordigen” worden niet opgenomen.</w:t>
            </w:r>
          </w:p>
        </w:tc>
      </w:tr>
      <w:tr w:rsidR="00C337F1" w:rsidRPr="00BC439A" w14:paraId="64CF4F9F" w14:textId="77777777" w:rsidTr="002623A2">
        <w:trPr>
          <w:trHeight w:val="699"/>
        </w:trPr>
        <w:tc>
          <w:tcPr>
            <w:tcW w:w="1435" w:type="dxa"/>
            <w:shd w:val="clear" w:color="auto" w:fill="auto"/>
          </w:tcPr>
          <w:p w14:paraId="7981A2E1" w14:textId="3F1FF913" w:rsidR="00C337F1" w:rsidRPr="00BC439A" w:rsidRDefault="00C337F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32" w:type="dxa"/>
            <w:shd w:val="clear" w:color="auto" w:fill="auto"/>
          </w:tcPr>
          <w:p w14:paraId="2853DB1C" w14:textId="6EED0555" w:rsidR="00FF5357" w:rsidRDefault="002A2B60" w:rsidP="00535F36">
            <w:pPr>
              <w:spacing w:after="120"/>
              <w:jc w:val="both"/>
              <w:rPr>
                <w:rFonts w:ascii="Times New Roman" w:eastAsiaTheme="minorHAnsi" w:hAnsi="Times New Roman" w:cs="Times New Roman"/>
                <w:sz w:val="24"/>
              </w:rPr>
            </w:pPr>
            <w:r>
              <w:rPr>
                <w:rFonts w:ascii="Times New Roman" w:hAnsi="Times New Roman"/>
                <w:b/>
                <w:sz w:val="24"/>
              </w:rPr>
              <w:t>Publiekrechtelijke lichamen van de decentrale overheid</w:t>
            </w:r>
          </w:p>
          <w:p w14:paraId="7D529948" w14:textId="15F28325" w:rsidR="00C337F1"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De som van blootstellingen in de rijen EU 2a en EU 2b.</w:t>
            </w:r>
          </w:p>
        </w:tc>
      </w:tr>
      <w:tr w:rsidR="00535F36" w:rsidRPr="00BC439A" w14:paraId="3305E816" w14:textId="77777777" w:rsidTr="002623A2">
        <w:trPr>
          <w:trHeight w:val="699"/>
        </w:trPr>
        <w:tc>
          <w:tcPr>
            <w:tcW w:w="1435" w:type="dxa"/>
            <w:shd w:val="clear" w:color="auto" w:fill="auto"/>
          </w:tcPr>
          <w:p w14:paraId="2D1E255D" w14:textId="6DDF26D9"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32" w:type="dxa"/>
            <w:shd w:val="clear" w:color="auto" w:fill="auto"/>
          </w:tcPr>
          <w:p w14:paraId="17AB2AE5" w14:textId="139DE043"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Regionale of lokale overheden</w:t>
            </w:r>
          </w:p>
          <w:p w14:paraId="788C221F" w14:textId="388C84CA" w:rsidR="00535F36" w:rsidRPr="001E793F" w:rsidRDefault="00FF5357" w:rsidP="5A0D947F">
            <w:pPr>
              <w:spacing w:after="120"/>
              <w:jc w:val="both"/>
              <w:rPr>
                <w:rFonts w:ascii="Times New Roman" w:hAnsi="Times New Roman" w:cs="Times New Roman"/>
                <w:sz w:val="24"/>
              </w:rPr>
            </w:pPr>
            <w:r w:rsidRPr="001E793F">
              <w:rPr>
                <w:rFonts w:ascii="Times New Roman" w:hAnsi="Times New Roman"/>
                <w:sz w:val="24"/>
              </w:rPr>
              <w:t xml:space="preserve">Blootstellingen in de zin van artikel 112, punt b), van Verordening (EU) nr. 575/2013 en artikel 115, leden -1, 1, 3, 4 en 5, van Verordening (EU) nr. 575/2013 voor blootstellingen in het kader van de standaardbenadering. </w:t>
            </w:r>
          </w:p>
        </w:tc>
      </w:tr>
      <w:tr w:rsidR="00535F36" w:rsidRPr="00BC439A" w14:paraId="6406D71A" w14:textId="77777777" w:rsidTr="002623A2">
        <w:trPr>
          <w:trHeight w:val="699"/>
        </w:trPr>
        <w:tc>
          <w:tcPr>
            <w:tcW w:w="1435" w:type="dxa"/>
            <w:shd w:val="clear" w:color="auto" w:fill="auto"/>
          </w:tcPr>
          <w:p w14:paraId="0C866ADB" w14:textId="153184B7"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32" w:type="dxa"/>
            <w:shd w:val="clear" w:color="auto" w:fill="auto"/>
          </w:tcPr>
          <w:p w14:paraId="0E9CAEB2" w14:textId="076DA4A8" w:rsidR="00FF5357" w:rsidRDefault="5682D6C4" w:rsidP="5A0D947F">
            <w:pPr>
              <w:spacing w:after="120"/>
              <w:jc w:val="both"/>
              <w:rPr>
                <w:rFonts w:ascii="Times New Roman" w:hAnsi="Times New Roman" w:cs="Times New Roman"/>
                <w:sz w:val="24"/>
              </w:rPr>
            </w:pPr>
            <w:r>
              <w:rPr>
                <w:rFonts w:ascii="Times New Roman" w:hAnsi="Times New Roman"/>
                <w:b/>
                <w:sz w:val="24"/>
              </w:rPr>
              <w:t>Publiekrechtelijke lichamen</w:t>
            </w:r>
            <w:r>
              <w:rPr>
                <w:rFonts w:ascii="Times New Roman" w:hAnsi="Times New Roman"/>
                <w:sz w:val="24"/>
              </w:rPr>
              <w:t xml:space="preserve"> </w:t>
            </w:r>
          </w:p>
          <w:p w14:paraId="1BBE065D" w14:textId="524818C4"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Blootstellingen in de zin van artikel 4, lid 1, punt 8), van Verordening (EU) nr. 575/2013, artikel 112, punt c), en artikel 116, leden 1, 2, 3, 4 en 5, van Verordening (EU) nr. 575/2013 voor blootstellingen in het kader van de standaardbenadering.</w:t>
            </w:r>
          </w:p>
        </w:tc>
      </w:tr>
      <w:tr w:rsidR="00535F36" w:rsidRPr="00BC439A" w14:paraId="273E3177" w14:textId="77777777" w:rsidTr="002623A2">
        <w:trPr>
          <w:trHeight w:val="699"/>
        </w:trPr>
        <w:tc>
          <w:tcPr>
            <w:tcW w:w="1435" w:type="dxa"/>
            <w:shd w:val="clear" w:color="auto" w:fill="auto"/>
          </w:tcPr>
          <w:p w14:paraId="265F0472" w14:textId="1D4E7D2F"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32" w:type="dxa"/>
            <w:shd w:val="clear" w:color="auto" w:fill="auto"/>
          </w:tcPr>
          <w:p w14:paraId="78704303" w14:textId="1DA2D51A" w:rsidR="00FF5357" w:rsidRDefault="5682D6C4" w:rsidP="5A0D947F">
            <w:pPr>
              <w:spacing w:after="120"/>
              <w:jc w:val="both"/>
              <w:rPr>
                <w:rFonts w:ascii="Times New Roman" w:hAnsi="Times New Roman" w:cs="Times New Roman"/>
                <w:sz w:val="24"/>
              </w:rPr>
            </w:pPr>
            <w:r>
              <w:rPr>
                <w:rFonts w:ascii="Times New Roman" w:hAnsi="Times New Roman"/>
                <w:b/>
                <w:sz w:val="24"/>
              </w:rPr>
              <w:t>Ondernemingen</w:t>
            </w:r>
            <w:r>
              <w:rPr>
                <w:rFonts w:ascii="Times New Roman" w:hAnsi="Times New Roman"/>
                <w:sz w:val="24"/>
              </w:rPr>
              <w:t xml:space="preserve"> </w:t>
            </w:r>
          </w:p>
          <w:p w14:paraId="263A5792" w14:textId="0257AF9A"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Blootstellingen in de zin van artikel 112, punt g), en artikel 122 van Verordening (EU) nr. 575/2013.</w:t>
            </w:r>
          </w:p>
        </w:tc>
      </w:tr>
      <w:tr w:rsidR="00535F36" w:rsidRPr="00BC439A" w14:paraId="10225A37" w14:textId="77777777" w:rsidTr="002623A2">
        <w:trPr>
          <w:trHeight w:val="699"/>
        </w:trPr>
        <w:tc>
          <w:tcPr>
            <w:tcW w:w="1435" w:type="dxa"/>
            <w:shd w:val="clear" w:color="auto" w:fill="auto"/>
          </w:tcPr>
          <w:p w14:paraId="05AFD83A" w14:textId="41C4FD2E"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32" w:type="dxa"/>
            <w:shd w:val="clear" w:color="auto" w:fill="auto"/>
          </w:tcPr>
          <w:p w14:paraId="520CB388" w14:textId="38E1D245" w:rsidR="00FF5357" w:rsidRPr="00FB64CF" w:rsidRDefault="00FF535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waarvan: gespecialiseerde kredietverlening</w:t>
            </w:r>
          </w:p>
          <w:p w14:paraId="4606DB92" w14:textId="6A3BD835"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Blootstellingen in de zin van artikel 122 bis van Verordening (EU) nr. 575/2013.</w:t>
            </w:r>
          </w:p>
        </w:tc>
      </w:tr>
      <w:tr w:rsidR="00535F36" w:rsidRPr="00BC439A" w14:paraId="2FFFC133" w14:textId="77777777" w:rsidTr="002623A2">
        <w:trPr>
          <w:trHeight w:val="699"/>
        </w:trPr>
        <w:tc>
          <w:tcPr>
            <w:tcW w:w="1435" w:type="dxa"/>
            <w:shd w:val="clear" w:color="auto" w:fill="auto"/>
          </w:tcPr>
          <w:p w14:paraId="10EBB238" w14:textId="1ADD0383"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32" w:type="dxa"/>
            <w:shd w:val="clear" w:color="auto" w:fill="auto"/>
          </w:tcPr>
          <w:p w14:paraId="47E0CC5E" w14:textId="38F4C285" w:rsidR="00FF5357"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Blootstellingen met betrekking tot achtergestelde schulden en eigen vermogen</w:t>
            </w:r>
          </w:p>
          <w:p w14:paraId="3D20D7B3" w14:textId="20D736B2" w:rsidR="00535F36" w:rsidRPr="00BC439A" w:rsidRDefault="00FF5357" w:rsidP="00535F36">
            <w:pPr>
              <w:spacing w:after="120"/>
              <w:jc w:val="both"/>
              <w:rPr>
                <w:rFonts w:ascii="Times New Roman" w:eastAsiaTheme="minorHAnsi" w:hAnsi="Times New Roman" w:cs="Times New Roman"/>
                <w:sz w:val="24"/>
              </w:rPr>
            </w:pPr>
            <w:r>
              <w:rPr>
                <w:rFonts w:ascii="Times New Roman" w:hAnsi="Times New Roman"/>
                <w:sz w:val="24"/>
              </w:rPr>
              <w:t>De som van blootstellingen in de rijen EU 7a en EU 7b.</w:t>
            </w:r>
          </w:p>
        </w:tc>
      </w:tr>
      <w:tr w:rsidR="00535F36" w:rsidRPr="00BC439A" w14:paraId="18C3B0E5" w14:textId="77777777" w:rsidTr="002623A2">
        <w:trPr>
          <w:trHeight w:val="699"/>
        </w:trPr>
        <w:tc>
          <w:tcPr>
            <w:tcW w:w="1435" w:type="dxa"/>
            <w:shd w:val="clear" w:color="auto" w:fill="auto"/>
          </w:tcPr>
          <w:p w14:paraId="01A38CD6" w14:textId="4158C34A"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32" w:type="dxa"/>
            <w:shd w:val="clear" w:color="auto" w:fill="auto"/>
          </w:tcPr>
          <w:p w14:paraId="235943EF" w14:textId="7B59FDFD"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Blootstellingen met betrekking tot achtergestelde schulden</w:t>
            </w:r>
          </w:p>
          <w:p w14:paraId="7A5E8FE8" w14:textId="01CEFAA6"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Blootstellingen in de zin van artikel 112, punt k), en artikel 128 van Verordening (EU) nr. 575/2013.</w:t>
            </w:r>
          </w:p>
        </w:tc>
      </w:tr>
      <w:tr w:rsidR="00535F36" w:rsidRPr="00BC439A" w14:paraId="66F33C3B" w14:textId="77777777" w:rsidTr="002623A2">
        <w:trPr>
          <w:trHeight w:val="699"/>
        </w:trPr>
        <w:tc>
          <w:tcPr>
            <w:tcW w:w="1435" w:type="dxa"/>
            <w:shd w:val="clear" w:color="auto" w:fill="auto"/>
          </w:tcPr>
          <w:p w14:paraId="2665F8B7" w14:textId="5328C121" w:rsidR="00535F36" w:rsidRPr="00BC439A"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32" w:type="dxa"/>
            <w:shd w:val="clear" w:color="auto" w:fill="auto"/>
          </w:tcPr>
          <w:p w14:paraId="3BED8548" w14:textId="18A49974" w:rsidR="00FF5357" w:rsidRPr="00FB64CF" w:rsidRDefault="5682D6C4" w:rsidP="5A0D947F">
            <w:pPr>
              <w:spacing w:after="120"/>
              <w:jc w:val="both"/>
              <w:rPr>
                <w:rFonts w:ascii="Times New Roman" w:hAnsi="Times New Roman" w:cs="Times New Roman"/>
                <w:b/>
                <w:bCs/>
                <w:sz w:val="24"/>
              </w:rPr>
            </w:pPr>
            <w:r>
              <w:rPr>
                <w:rFonts w:ascii="Times New Roman" w:hAnsi="Times New Roman"/>
                <w:b/>
                <w:sz w:val="24"/>
              </w:rPr>
              <w:t>Eigen vermogen</w:t>
            </w:r>
          </w:p>
          <w:p w14:paraId="31034ED0" w14:textId="7C726DCB" w:rsidR="00535F36" w:rsidRPr="00BC439A" w:rsidRDefault="00FF5357" w:rsidP="5A0D947F">
            <w:pPr>
              <w:spacing w:after="120"/>
              <w:jc w:val="both"/>
              <w:rPr>
                <w:rFonts w:ascii="Times New Roman" w:hAnsi="Times New Roman" w:cs="Times New Roman"/>
                <w:sz w:val="24"/>
              </w:rPr>
            </w:pPr>
            <w:r>
              <w:rPr>
                <w:rFonts w:ascii="Times New Roman" w:hAnsi="Times New Roman"/>
                <w:sz w:val="24"/>
              </w:rPr>
              <w:t>Blootstellingen in de zin van artikel 112, punt p), en artikel 133, lid 1, van Verordening (EU) nr. 575/2013.</w:t>
            </w:r>
          </w:p>
        </w:tc>
      </w:tr>
      <w:tr w:rsidR="00535F36" w:rsidRPr="00166E0C" w14:paraId="19C205C7" w14:textId="77777777" w:rsidTr="002623A2">
        <w:trPr>
          <w:trHeight w:val="699"/>
        </w:trPr>
        <w:tc>
          <w:tcPr>
            <w:tcW w:w="1435" w:type="dxa"/>
            <w:shd w:val="clear" w:color="auto" w:fill="auto"/>
          </w:tcPr>
          <w:p w14:paraId="778DE6F5" w14:textId="772D6892"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32" w:type="dxa"/>
            <w:shd w:val="clear" w:color="auto" w:fill="auto"/>
          </w:tcPr>
          <w:p w14:paraId="1AD83094" w14:textId="3714119C"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Gedekt door hypotheken op onroerend goed en ADC-blootstellingen</w:t>
            </w:r>
          </w:p>
          <w:p w14:paraId="01108BAD" w14:textId="7A881266"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 xml:space="preserve">Blootstellingen die gedekt zijn door onroerend goed in de zin van artikel 4, lid 1, punten 75) tot en met 75f), van Verordening (EU) nr. 575/2013 en blootstellingen in de zin van artikel 4, lid 1, punt 78 bis, van Verordening (EU) nr. 575/2013 worden hier gerapporteerd. </w:t>
            </w:r>
          </w:p>
          <w:p w14:paraId="19E24D73" w14:textId="6A0F3423" w:rsidR="00D60B05" w:rsidRPr="00166E0C" w:rsidRDefault="00D60B05" w:rsidP="00535F36">
            <w:pPr>
              <w:spacing w:after="120"/>
              <w:jc w:val="both"/>
              <w:rPr>
                <w:rFonts w:ascii="Times New Roman" w:eastAsiaTheme="minorHAnsi" w:hAnsi="Times New Roman" w:cs="Times New Roman"/>
                <w:sz w:val="24"/>
              </w:rPr>
            </w:pPr>
            <w:r>
              <w:rPr>
                <w:rFonts w:ascii="Times New Roman" w:hAnsi="Times New Roman"/>
                <w:sz w:val="24"/>
              </w:rPr>
              <w:t xml:space="preserve">Deze rij is de som van de rijen 9.1; 9.2; 9.3; 9.4 en 9.5. </w:t>
            </w:r>
          </w:p>
        </w:tc>
      </w:tr>
      <w:tr w:rsidR="00535F36" w:rsidRPr="00166E0C" w14:paraId="02ECFA10" w14:textId="77777777" w:rsidTr="002623A2">
        <w:trPr>
          <w:trHeight w:val="699"/>
        </w:trPr>
        <w:tc>
          <w:tcPr>
            <w:tcW w:w="1435" w:type="dxa"/>
            <w:shd w:val="clear" w:color="auto" w:fill="auto"/>
          </w:tcPr>
          <w:p w14:paraId="64CD7987" w14:textId="5265FA6A"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32" w:type="dxa"/>
            <w:shd w:val="clear" w:color="auto" w:fill="auto"/>
          </w:tcPr>
          <w:p w14:paraId="767946BA" w14:textId="417EA438"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Gedekt door hypotheken op niet-zakelijk onroerend goed — niet-IPRE</w:t>
            </w:r>
          </w:p>
          <w:p w14:paraId="4DB2B534" w14:textId="5136C073"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Blootstellingen die worden behandeld overeenkomstig artikel 125, lid 1, van Verordening (EU) nr. 575/2013 worden hier gerapporteerd.</w:t>
            </w:r>
          </w:p>
          <w:p w14:paraId="39BC2BE6" w14:textId="40A39FE4" w:rsidR="00FD6952" w:rsidRPr="00FB64CF" w:rsidRDefault="00FD6952" w:rsidP="00FB64CF">
            <w:pPr>
              <w:spacing w:after="120"/>
              <w:jc w:val="both"/>
              <w:rPr>
                <w:rFonts w:eastAsiaTheme="minorHAnsi"/>
              </w:rPr>
            </w:pPr>
            <w:r>
              <w:rPr>
                <w:rFonts w:ascii="Times New Roman" w:hAnsi="Times New Roman"/>
                <w:sz w:val="24"/>
              </w:rPr>
              <w:t>In deze rij worden ook openbaargemaakt: andere blootstellingen die gedekt zijn door hypotheken op niet-zakelijk onroerend goed — niet-IPRE — die niet voldoen aan de voorwaarden van artikel 124, lid 3, of een gedeelte van een niet-ADC-blootstelling dat het nominale bedrag van het pandrecht van het onroerend goed als bedoeld in artikel 124, lid 1, punt a), van Verordening (EU) nr. 575/2013 overschrijdt.</w:t>
            </w:r>
          </w:p>
        </w:tc>
      </w:tr>
      <w:tr w:rsidR="00535F36" w:rsidRPr="00BC439A" w14:paraId="095056BC" w14:textId="77777777" w:rsidTr="002623A2">
        <w:trPr>
          <w:trHeight w:val="699"/>
        </w:trPr>
        <w:tc>
          <w:tcPr>
            <w:tcW w:w="1435" w:type="dxa"/>
            <w:shd w:val="clear" w:color="auto" w:fill="auto"/>
          </w:tcPr>
          <w:p w14:paraId="5841F3AE" w14:textId="39B6E246"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32" w:type="dxa"/>
            <w:shd w:val="clear" w:color="auto" w:fill="auto"/>
          </w:tcPr>
          <w:p w14:paraId="0A4DA91A" w14:textId="6039BA7A" w:rsidR="007F1438" w:rsidRPr="00FB64CF" w:rsidRDefault="5682D6C4" w:rsidP="5A0D947F">
            <w:pPr>
              <w:spacing w:after="120"/>
              <w:jc w:val="both"/>
              <w:rPr>
                <w:rFonts w:ascii="Times New Roman" w:hAnsi="Times New Roman" w:cs="Times New Roman"/>
                <w:b/>
                <w:bCs/>
                <w:sz w:val="24"/>
              </w:rPr>
            </w:pPr>
            <w:r>
              <w:rPr>
                <w:rFonts w:ascii="Times New Roman" w:hAnsi="Times New Roman"/>
                <w:b/>
                <w:sz w:val="24"/>
              </w:rPr>
              <w:t>Gedekt door hypotheken op niet-zakelijk onroerend goed — IPRE</w:t>
            </w:r>
          </w:p>
          <w:p w14:paraId="683E626E" w14:textId="03E1AF1F" w:rsidR="00535F36" w:rsidRPr="00166E0C" w:rsidRDefault="007F1438" w:rsidP="5A0D947F">
            <w:pPr>
              <w:spacing w:after="120"/>
              <w:jc w:val="both"/>
              <w:rPr>
                <w:rFonts w:ascii="Times New Roman" w:hAnsi="Times New Roman" w:cs="Times New Roman"/>
                <w:sz w:val="24"/>
              </w:rPr>
            </w:pPr>
            <w:r>
              <w:rPr>
                <w:rFonts w:ascii="Times New Roman" w:hAnsi="Times New Roman"/>
                <w:sz w:val="24"/>
              </w:rPr>
              <w:t>Hier worden alleen blootstellingen gerapporteerd die voldoen aan de definitie van artikel 4, lid 1, punt 75 ter, van Verordening (EU) nr. 575/2013, met inbegrip van IPRE-blootstellingen die aan een van de voorwaarden van artikel 124, lid 2, punt a), ii), 1) tot en met 4), van Verordening (EU) nr. 575/2013 voldoen; IPRE-blootstellingen waarbij de afwijking van artikel 125, lid 2, van Verordening (EU) nr. 575/2013 wordt toegepast.</w:t>
            </w:r>
          </w:p>
          <w:p w14:paraId="752E3912" w14:textId="33220D5C" w:rsidR="00900E99" w:rsidRPr="00BC439A" w:rsidRDefault="00900E99" w:rsidP="5A0D947F">
            <w:pPr>
              <w:spacing w:after="120"/>
              <w:jc w:val="both"/>
              <w:rPr>
                <w:rFonts w:ascii="Times New Roman" w:hAnsi="Times New Roman" w:cs="Times New Roman"/>
                <w:sz w:val="24"/>
              </w:rPr>
            </w:pPr>
            <w:r>
              <w:rPr>
                <w:rFonts w:ascii="Times New Roman" w:hAnsi="Times New Roman"/>
                <w:sz w:val="24"/>
              </w:rPr>
              <w:t>In deze rij worden ook andere blootstellingen openbaargemaakt die gedekt zijn door hypotheken op niet-zakelijk onroerend goed — IPRE — die niet voldoen aan de voorwaarden van artikel 124, lid 3, of een gedeelte van een niet-ADC-blootstelling dat het nominale bedrag van het pandrecht van het onroerend goed als bedoeld in artikel 124, lid 1, punt b), van Verordening (EU) nr. 575/2013 overschrijdt.</w:t>
            </w:r>
          </w:p>
        </w:tc>
      </w:tr>
      <w:tr w:rsidR="00535F36" w:rsidRPr="00166E0C" w14:paraId="52BA9448" w14:textId="77777777" w:rsidTr="002623A2">
        <w:trPr>
          <w:trHeight w:val="699"/>
        </w:trPr>
        <w:tc>
          <w:tcPr>
            <w:tcW w:w="1435" w:type="dxa"/>
            <w:shd w:val="clear" w:color="auto" w:fill="auto"/>
          </w:tcPr>
          <w:p w14:paraId="6A1C330D" w14:textId="5A3E34A5"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w:t>
            </w:r>
          </w:p>
        </w:tc>
        <w:tc>
          <w:tcPr>
            <w:tcW w:w="7632" w:type="dxa"/>
            <w:shd w:val="clear" w:color="auto" w:fill="auto"/>
          </w:tcPr>
          <w:p w14:paraId="4E2BB22E" w14:textId="65455CC2" w:rsidR="007F1438" w:rsidRPr="00FB64CF" w:rsidRDefault="00535F36" w:rsidP="00535F36">
            <w:pPr>
              <w:spacing w:after="120"/>
              <w:jc w:val="both"/>
              <w:rPr>
                <w:rFonts w:ascii="Times New Roman" w:eastAsiaTheme="minorHAnsi" w:hAnsi="Times New Roman" w:cs="Times New Roman"/>
                <w:b/>
                <w:bCs/>
                <w:sz w:val="24"/>
              </w:rPr>
            </w:pPr>
            <w:r>
              <w:rPr>
                <w:rFonts w:ascii="Times New Roman" w:hAnsi="Times New Roman"/>
                <w:b/>
                <w:sz w:val="24"/>
              </w:rPr>
              <w:t xml:space="preserve">Gedekt door hypotheken op zakelijk onroerend goed — niet-IPRE </w:t>
            </w:r>
          </w:p>
          <w:p w14:paraId="599BA328" w14:textId="126EA28D" w:rsidR="00535F36" w:rsidRPr="00166E0C" w:rsidRDefault="007F1438" w:rsidP="00535F36">
            <w:pPr>
              <w:spacing w:after="120"/>
              <w:jc w:val="both"/>
              <w:rPr>
                <w:rFonts w:ascii="Times New Roman" w:hAnsi="Times New Roman" w:cs="Times New Roman"/>
                <w:bCs/>
                <w:sz w:val="24"/>
              </w:rPr>
            </w:pPr>
            <w:r>
              <w:rPr>
                <w:rFonts w:ascii="Times New Roman" w:hAnsi="Times New Roman"/>
                <w:sz w:val="24"/>
              </w:rPr>
              <w:t>Blootstellingen die worden behandeld overeenkomstig artikel 126, lid 1, van Verordening (EU) nr. 575/2013 worden hier gerapporteerd.</w:t>
            </w:r>
          </w:p>
          <w:p w14:paraId="56DF61DF" w14:textId="3ED6FADA" w:rsidR="00A93447" w:rsidRPr="00FB64CF" w:rsidRDefault="00A93447" w:rsidP="00900E99">
            <w:pPr>
              <w:spacing w:after="120"/>
              <w:jc w:val="both"/>
              <w:rPr>
                <w:rFonts w:ascii="Times New Roman" w:eastAsiaTheme="minorHAnsi" w:hAnsi="Times New Roman"/>
                <w:sz w:val="24"/>
              </w:rPr>
            </w:pPr>
            <w:r>
              <w:rPr>
                <w:rFonts w:ascii="Times New Roman" w:hAnsi="Times New Roman"/>
                <w:sz w:val="24"/>
              </w:rPr>
              <w:t>In deze rij worden ook openbaargemaakt: andere blootstellingen die gedekt zijn door hypotheken op zakelijk onroerend goed — niet-IPRE — die niet voldoen aan de voorwaarden van artikel 124, lid 3, of een gedeelte van een niet-ADC-blootstelling dat het nominale bedrag van het pandrecht van het onroerend goed als bedoeld in artikel 124, lid 1, punt a), van Verordening (EU) nr. 575/2013 overschrijdt.</w:t>
            </w:r>
          </w:p>
        </w:tc>
      </w:tr>
      <w:tr w:rsidR="00535F36" w:rsidRPr="00166E0C" w14:paraId="134726BE" w14:textId="77777777" w:rsidTr="002623A2">
        <w:trPr>
          <w:trHeight w:val="699"/>
        </w:trPr>
        <w:tc>
          <w:tcPr>
            <w:tcW w:w="1435" w:type="dxa"/>
            <w:shd w:val="clear" w:color="auto" w:fill="auto"/>
          </w:tcPr>
          <w:p w14:paraId="5AD77A0D" w14:textId="22AC797D" w:rsidR="00535F36" w:rsidRPr="00166E0C" w:rsidRDefault="00535F36"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32" w:type="dxa"/>
            <w:shd w:val="clear" w:color="auto" w:fill="auto"/>
          </w:tcPr>
          <w:p w14:paraId="606B4A71" w14:textId="586254A3" w:rsidR="00FB4914" w:rsidRPr="00FB64CF" w:rsidRDefault="5682D6C4" w:rsidP="5A0D947F">
            <w:pPr>
              <w:spacing w:after="120"/>
              <w:jc w:val="both"/>
              <w:rPr>
                <w:rFonts w:ascii="Times New Roman" w:hAnsi="Times New Roman" w:cs="Times New Roman"/>
                <w:b/>
                <w:bCs/>
                <w:sz w:val="24"/>
              </w:rPr>
            </w:pPr>
            <w:r>
              <w:rPr>
                <w:rFonts w:ascii="Times New Roman" w:hAnsi="Times New Roman"/>
                <w:b/>
                <w:sz w:val="24"/>
              </w:rPr>
              <w:t>Gedekt door hypotheken op zakelijk onroerend goed — IPRE</w:t>
            </w:r>
          </w:p>
          <w:p w14:paraId="570AD855" w14:textId="377A4690" w:rsidR="00535F36" w:rsidRPr="00166E0C" w:rsidRDefault="00FB4914" w:rsidP="5A0D947F">
            <w:pPr>
              <w:spacing w:after="120"/>
              <w:jc w:val="both"/>
              <w:rPr>
                <w:rFonts w:ascii="Times New Roman" w:hAnsi="Times New Roman" w:cs="Times New Roman"/>
                <w:sz w:val="24"/>
              </w:rPr>
            </w:pPr>
            <w:r>
              <w:rPr>
                <w:rFonts w:ascii="Times New Roman" w:hAnsi="Times New Roman"/>
                <w:sz w:val="24"/>
              </w:rPr>
              <w:t>Blootstellingen die voldoen aan de definitie van artikel 4, lid 1, punt 75 ter, en artikel 124, lid 2, punt b), ii), van Verordening (EU) nr. 575/2013 worden hier gerapporteerd, met inbegrip van blootstellingen met betrekking tot IPRE waarbij de afwijking van artikel 126, lid 2, van Verordening (EU) nr. 575/2013 wordt toegepast.</w:t>
            </w:r>
          </w:p>
          <w:p w14:paraId="17723425" w14:textId="4CA6C755" w:rsidR="00900E99" w:rsidRPr="00166E0C" w:rsidRDefault="00900E99" w:rsidP="5A0D947F">
            <w:pPr>
              <w:spacing w:after="120"/>
              <w:jc w:val="both"/>
              <w:rPr>
                <w:rFonts w:ascii="Times New Roman" w:hAnsi="Times New Roman" w:cs="Times New Roman"/>
                <w:sz w:val="24"/>
              </w:rPr>
            </w:pPr>
            <w:r>
              <w:rPr>
                <w:rFonts w:ascii="Times New Roman" w:hAnsi="Times New Roman"/>
                <w:sz w:val="24"/>
              </w:rPr>
              <w:lastRenderedPageBreak/>
              <w:t>In deze rij worden ook andere blootstellingen openbaargemaakt die gedekt zijn door hypotheken op zakelijk onroerend goed — IPRE — die niet voldoen aan de voorwaarden van artikel 124, lid 3, of een gedeelte van een niet-ADC-blootstelling dat het nominale bedrag van het pandrecht van het onroerend goed als bedoeld in artikel 124, lid 1, punt b), van Verordening (EU) nr. 575/2013 overschrijdt.</w:t>
            </w:r>
          </w:p>
        </w:tc>
      </w:tr>
      <w:tr w:rsidR="00395831" w:rsidRPr="00BC439A" w14:paraId="49538D8A" w14:textId="77777777" w:rsidTr="002623A2">
        <w:trPr>
          <w:trHeight w:val="699"/>
        </w:trPr>
        <w:tc>
          <w:tcPr>
            <w:tcW w:w="1435"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11</w:t>
            </w:r>
          </w:p>
        </w:tc>
        <w:tc>
          <w:tcPr>
            <w:tcW w:w="7632" w:type="dxa"/>
            <w:shd w:val="clear" w:color="auto" w:fill="D9D9D9" w:themeFill="background1" w:themeFillShade="D9"/>
          </w:tcPr>
          <w:p w14:paraId="66C90862" w14:textId="75D35FB5"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Niet van toepassing</w:t>
            </w:r>
          </w:p>
        </w:tc>
      </w:tr>
      <w:tr w:rsidR="00395831" w:rsidRPr="00BC439A" w14:paraId="55E3893A" w14:textId="77777777" w:rsidTr="002623A2">
        <w:trPr>
          <w:trHeight w:val="558"/>
        </w:trPr>
        <w:tc>
          <w:tcPr>
            <w:tcW w:w="1435" w:type="dxa"/>
          </w:tcPr>
          <w:p w14:paraId="662AB193" w14:textId="4746E76F" w:rsidR="00395831" w:rsidRPr="00166E0C" w:rsidRDefault="00395831">
            <w:pPr>
              <w:spacing w:after="120"/>
              <w:jc w:val="both"/>
              <w:rPr>
                <w:rFonts w:ascii="Times New Roman" w:eastAsia="Times New Roman" w:hAnsi="Times New Roman" w:cs="Times New Roman"/>
                <w:sz w:val="24"/>
              </w:rPr>
            </w:pPr>
            <w:r>
              <w:rPr>
                <w:rFonts w:ascii="Times New Roman" w:hAnsi="Times New Roman"/>
                <w:sz w:val="24"/>
              </w:rPr>
              <w:t>12</w:t>
            </w:r>
          </w:p>
        </w:tc>
        <w:tc>
          <w:tcPr>
            <w:tcW w:w="7632" w:type="dxa"/>
          </w:tcPr>
          <w:p w14:paraId="132C0D24" w14:textId="77777777" w:rsidR="00395831" w:rsidRPr="00FB64CF" w:rsidRDefault="00395831" w:rsidP="00926A01">
            <w:pPr>
              <w:spacing w:after="120"/>
              <w:jc w:val="both"/>
              <w:rPr>
                <w:rFonts w:ascii="Times New Roman" w:hAnsi="Times New Roman" w:cs="Times New Roman"/>
                <w:b/>
                <w:bCs/>
                <w:sz w:val="24"/>
              </w:rPr>
            </w:pPr>
            <w:r>
              <w:rPr>
                <w:rFonts w:ascii="Times New Roman" w:hAnsi="Times New Roman"/>
                <w:b/>
                <w:sz w:val="24"/>
              </w:rPr>
              <w:t xml:space="preserve">“Totaal” </w:t>
            </w:r>
          </w:p>
          <w:p w14:paraId="55987C40" w14:textId="74538114" w:rsidR="00395831" w:rsidRPr="00BC439A" w:rsidRDefault="00395831" w:rsidP="5A0D947F">
            <w:pPr>
              <w:spacing w:after="120"/>
              <w:jc w:val="both"/>
              <w:rPr>
                <w:rFonts w:ascii="Times New Roman" w:hAnsi="Times New Roman" w:cs="Times New Roman"/>
                <w:sz w:val="24"/>
              </w:rPr>
            </w:pPr>
            <w:r>
              <w:rPr>
                <w:rFonts w:ascii="Times New Roman" w:hAnsi="Times New Roman"/>
                <w:sz w:val="24"/>
              </w:rPr>
              <w:t xml:space="preserve">Totaal van blootstellingen in de rijen 1, 2, 3, EU 3a, 4, 5, 6, 7, 8, 9, 10, EU 10a, EU 10b, EU 10c </w:t>
            </w:r>
            <w:r>
              <w:rPr>
                <w:rFonts w:ascii="Times New Roman" w:hAnsi="Times New Roman"/>
                <w:i/>
                <w:sz w:val="24"/>
              </w:rPr>
              <w:t>supra</w:t>
            </w:r>
            <w:r>
              <w:rPr>
                <w:rFonts w:ascii="Times New Roman" w:hAnsi="Times New Roman"/>
                <w:sz w:val="24"/>
              </w:rPr>
              <w:t>.</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Pr>
          <w:rFonts w:ascii="Times New Roman" w:hAnsi="Times New Roman"/>
          <w:b/>
          <w:sz w:val="24"/>
        </w:rPr>
        <w:t>Template EU CR5 – Standaardbenadering</w:t>
      </w:r>
      <w:r>
        <w:rPr>
          <w:rFonts w:ascii="Times New Roman" w:hAnsi="Times New Roman"/>
          <w:sz w:val="24"/>
        </w:rPr>
        <w:t>. Vaste opmaak</w:t>
      </w:r>
    </w:p>
    <w:p w14:paraId="137E3994" w14:textId="0AE68309" w:rsidR="0005278F" w:rsidRPr="002623A2" w:rsidRDefault="0005278F" w:rsidP="5A0D947F">
      <w:pPr>
        <w:pStyle w:val="ListParagraph"/>
        <w:numPr>
          <w:ilvl w:val="0"/>
          <w:numId w:val="1"/>
        </w:numPr>
        <w:spacing w:after="120"/>
        <w:ind w:left="425" w:hanging="357"/>
        <w:jc w:val="both"/>
        <w:rPr>
          <w:rFonts w:ascii="Times New Roman" w:hAnsi="Times New Roman"/>
          <w:sz w:val="24"/>
          <w:szCs w:val="24"/>
        </w:rPr>
      </w:pPr>
      <w:r w:rsidRPr="002623A2">
        <w:rPr>
          <w:rFonts w:ascii="Times New Roman" w:hAnsi="Times New Roman"/>
          <w:sz w:val="24"/>
          <w:szCs w:val="24"/>
        </w:rPr>
        <w:t>Instellingen maken de informatie bedoeld in artikel 444, punt e), van Verordening (EU) nr. 575/2013 openbaar door aan de hand van de volgende instructies in deze bijlage template EU CR5 in bijlage XIX bij de IT-oplossingen van de EBA in te vullen.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Pr>
                <w:rFonts w:ascii="Times New Roman" w:hAnsi="Times New Roman"/>
                <w:b/>
                <w:sz w:val="24"/>
              </w:rPr>
              <w:t>Kolom</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Verwijzingen naar wetgeving en instructies</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Pr>
                <w:rFonts w:ascii="Times New Roman" w:hAnsi="Times New Roman"/>
                <w:b/>
                <w:sz w:val="24"/>
              </w:rPr>
              <w:t>Toelichting</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a - y</w:t>
            </w:r>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Risicogewicht: </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instellingen maken de informatie openbaar over de toewijzing van risicogewichten binnen de respectieve blootstellingscategorieën overeenkomstig deel drie, titel II, hoofdstuk 2, afdeling 2, van Verordening (EU) nr. 575/2013.</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t>z</w:t>
            </w:r>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 xml:space="preserve">Totaal: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xml:space="preserve">Totaalbedrag van blootstellingen binnen en buiten de balanstelling binnen het toepassingsgebied van de prudentiële consolidatie: </w:t>
            </w:r>
          </w:p>
          <w:p w14:paraId="137E39A2" w14:textId="6B6AE66E"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na specifieke kredietrisicoaanpassingen overeenkomstig artikel 110 van Verordening (EU) nr. 575/2013, aanvullende waardeaanpassingen overeenkomstig de artikelen 34 en 105 van Verordening (EU) nr. 575/2013, in mindering gebrachte bedragen overeenkomstig artikel 36, lid 1, punt m), van Verordening (EU) nr. 575/2013, andere eigenvermogensverlagingen en afschrijvingen (zoals omschreven in het toepasselijke kader voor financiële verslaggeving) voor blootstellingen binnen de balanstelling, overeenkomstig artikel 111 van Verordening (EU) nr. 575/2013;</w:t>
            </w:r>
          </w:p>
          <w:p w14:paraId="137E39A3" w14:textId="5D0C5323"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 na aftrek van specifieke kredietrisicoaanpassingen en in mindering gebrachte bedragen overeenkomstig artikel 36, lid 1, punt m), van Verordening (EU) nr. 575/2013 voor blootstellingen buiten de balanstelling, overeenkomstig artikel 111 van Verordening (EU) nr. 575/2013;</w:t>
            </w:r>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Pr>
                <w:rFonts w:ascii="Times New Roman" w:hAnsi="Times New Roman"/>
                <w:sz w:val="24"/>
              </w:rPr>
              <w:t>- na i) de toepassing van omrekeningsfactoren als gespecificeerd in hetzelfde artikel en ii) de toepassing van in deel drie, titel II, hoofdstuk 4, van Verordening (EU) nr. 575/2013 gespecificeerde kredietrisicolimiteringstechnieken voor blootstellingen binnen en buiten de balanstelling.</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rFonts w:ascii="Times New Roman" w:eastAsia="Times New Roman" w:hAnsi="Times New Roman" w:cs="Times New Roman"/>
                <w:sz w:val="24"/>
              </w:rPr>
            </w:pPr>
            <w:r>
              <w:rPr>
                <w:rFonts w:ascii="Times New Roman" w:hAnsi="Times New Roman"/>
                <w:sz w:val="24"/>
              </w:rPr>
              <w:lastRenderedPageBreak/>
              <w:t>aa</w:t>
            </w:r>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Pr>
                <w:rFonts w:ascii="Times New Roman" w:hAnsi="Times New Roman"/>
                <w:b/>
                <w:sz w:val="24"/>
              </w:rPr>
              <w:t>Waarvan zonder rating:</w:t>
            </w:r>
          </w:p>
          <w:p w14:paraId="137E39A8" w14:textId="3CDE48FF"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blootstellingen waarvoor geen kredietbeoordeling door een aangewezen EKBI beschikbaar is en waarvoor specifieke risicogewichten worden toegepast afhankelijk van hun blootstellingscategorie, als gespecificeerd in de artikelen 113 tot en met 134 van Verordening (EU) nr. 575/2013.</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32"/>
      </w:tblGrid>
      <w:tr w:rsidR="00535F36" w:rsidRPr="00BC439A" w14:paraId="49F9BEA4" w14:textId="77777777" w:rsidTr="002623A2">
        <w:trPr>
          <w:trHeight w:val="90"/>
        </w:trPr>
        <w:tc>
          <w:tcPr>
            <w:tcW w:w="1435"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Pr>
                <w:rFonts w:ascii="Times New Roman" w:hAnsi="Times New Roman"/>
                <w:b/>
                <w:sz w:val="24"/>
              </w:rPr>
              <w:t>Rijnummer</w:t>
            </w:r>
          </w:p>
        </w:tc>
        <w:tc>
          <w:tcPr>
            <w:tcW w:w="7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Pr>
                <w:rFonts w:ascii="Times New Roman" w:hAnsi="Times New Roman"/>
                <w:b/>
                <w:sz w:val="24"/>
              </w:rPr>
              <w:t>Verwijzingen naar wetgeving en instructies</w:t>
            </w:r>
          </w:p>
        </w:tc>
      </w:tr>
      <w:tr w:rsidR="00535F36" w:rsidRPr="00BC439A" w14:paraId="37948471" w14:textId="77777777" w:rsidTr="002623A2">
        <w:trPr>
          <w:trHeight w:val="336"/>
        </w:trPr>
        <w:tc>
          <w:tcPr>
            <w:tcW w:w="1435"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32"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Pr>
                <w:rFonts w:ascii="Times New Roman" w:hAnsi="Times New Roman"/>
                <w:b/>
                <w:sz w:val="24"/>
              </w:rPr>
              <w:t>Toelichting</w:t>
            </w:r>
          </w:p>
        </w:tc>
      </w:tr>
      <w:tr w:rsidR="00B731E6" w:rsidRPr="00BC439A" w14:paraId="633F9A94" w14:textId="77777777" w:rsidTr="002623A2">
        <w:trPr>
          <w:trHeight w:val="507"/>
        </w:trPr>
        <w:tc>
          <w:tcPr>
            <w:tcW w:w="1435" w:type="dxa"/>
            <w:shd w:val="clear" w:color="auto" w:fill="auto"/>
          </w:tcPr>
          <w:p w14:paraId="57A9AA9B" w14:textId="01045E65" w:rsidR="00B731E6" w:rsidRPr="002623A2" w:rsidRDefault="00B731E6" w:rsidP="00B731E6">
            <w:pPr>
              <w:autoSpaceDE w:val="0"/>
              <w:autoSpaceDN w:val="0"/>
              <w:adjustRightInd w:val="0"/>
              <w:spacing w:after="120"/>
              <w:jc w:val="both"/>
              <w:rPr>
                <w:rFonts w:ascii="Times New Roman" w:eastAsia="Times New Roman" w:hAnsi="Times New Roman" w:cs="Times New Roman"/>
                <w:sz w:val="24"/>
                <w:lang w:val="fr-BE"/>
              </w:rPr>
            </w:pPr>
            <w:r w:rsidRPr="002623A2">
              <w:rPr>
                <w:rFonts w:ascii="Times New Roman" w:hAnsi="Times New Roman"/>
                <w:sz w:val="24"/>
                <w:lang w:val="fr-BE"/>
              </w:rPr>
              <w:t>1, EU2a, EU 2b, 3, EU 3a, 4, 5, 6, EU 7a, EU 7b, 8, 9, 10, EU 10a, EU 10b, EU 10c</w:t>
            </w:r>
          </w:p>
        </w:tc>
        <w:tc>
          <w:tcPr>
            <w:tcW w:w="7632"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Pr>
                <w:rFonts w:ascii="Times New Roman" w:hAnsi="Times New Roman"/>
                <w:sz w:val="24"/>
              </w:rPr>
              <w:t xml:space="preserve">De blootstellingscategorieën overeenkomstig artikel 112 van Verordening (EU) nr. 575/2013. </w:t>
            </w:r>
          </w:p>
          <w:p w14:paraId="418D4291" w14:textId="757AEF54"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Blootstellingen toegewezen aan de in artikel 112, punt m), van Verordening (EU) nr. 575/2013 genoemde blootstellingscategorie “posten die securitisatieposities vertegenwoordigen” worden niet opgenomen.</w:t>
            </w:r>
          </w:p>
        </w:tc>
      </w:tr>
      <w:tr w:rsidR="00AF5033" w:rsidRPr="00BC439A" w14:paraId="685DA180" w14:textId="77777777" w:rsidTr="002623A2">
        <w:trPr>
          <w:trHeight w:val="699"/>
        </w:trPr>
        <w:tc>
          <w:tcPr>
            <w:tcW w:w="1435" w:type="dxa"/>
            <w:shd w:val="clear" w:color="auto" w:fill="auto"/>
          </w:tcPr>
          <w:p w14:paraId="1C0D8004" w14:textId="77777777" w:rsidR="00AF5033" w:rsidRPr="00BC439A" w:rsidRDefault="00AF5033" w:rsidP="00AB03E9">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2</w:t>
            </w:r>
          </w:p>
        </w:tc>
        <w:tc>
          <w:tcPr>
            <w:tcW w:w="7632" w:type="dxa"/>
            <w:shd w:val="clear" w:color="auto" w:fill="auto"/>
          </w:tcPr>
          <w:p w14:paraId="79E951C7" w14:textId="311E1895" w:rsidR="00F26067" w:rsidRPr="00FB64CF" w:rsidRDefault="009B6905" w:rsidP="00AB03E9">
            <w:pPr>
              <w:spacing w:after="120"/>
              <w:jc w:val="both"/>
              <w:rPr>
                <w:rFonts w:ascii="Times New Roman" w:eastAsiaTheme="minorHAnsi" w:hAnsi="Times New Roman" w:cs="Times New Roman"/>
                <w:b/>
                <w:bCs/>
                <w:sz w:val="24"/>
              </w:rPr>
            </w:pPr>
            <w:r>
              <w:rPr>
                <w:rFonts w:ascii="Times New Roman" w:hAnsi="Times New Roman"/>
                <w:b/>
                <w:sz w:val="24"/>
              </w:rPr>
              <w:t xml:space="preserve">Publiekrechtelijke lichamen van de decentrale overheid </w:t>
            </w:r>
          </w:p>
          <w:p w14:paraId="4CF4DA0A" w14:textId="6AA1E2BE" w:rsidR="00AF5033" w:rsidRPr="00BC439A" w:rsidRDefault="00F26067" w:rsidP="00AB03E9">
            <w:pPr>
              <w:spacing w:after="120"/>
              <w:jc w:val="both"/>
              <w:rPr>
                <w:rFonts w:ascii="Times New Roman" w:eastAsiaTheme="minorHAnsi" w:hAnsi="Times New Roman" w:cs="Times New Roman"/>
                <w:sz w:val="24"/>
              </w:rPr>
            </w:pPr>
            <w:r>
              <w:rPr>
                <w:rFonts w:ascii="Times New Roman" w:hAnsi="Times New Roman"/>
                <w:sz w:val="24"/>
              </w:rPr>
              <w:t>De som van blootstellingen in de rijen EU 2a en EU 2b.</w:t>
            </w:r>
          </w:p>
        </w:tc>
      </w:tr>
      <w:tr w:rsidR="00B731E6" w:rsidRPr="00BC439A" w14:paraId="43E2EF2A" w14:textId="77777777" w:rsidTr="002623A2">
        <w:trPr>
          <w:trHeight w:val="507"/>
        </w:trPr>
        <w:tc>
          <w:tcPr>
            <w:tcW w:w="1435"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2a</w:t>
            </w:r>
          </w:p>
        </w:tc>
        <w:tc>
          <w:tcPr>
            <w:tcW w:w="7632" w:type="dxa"/>
            <w:shd w:val="clear" w:color="auto" w:fill="auto"/>
          </w:tcPr>
          <w:p w14:paraId="6E395D8A" w14:textId="5F849253"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Regionale of lokale overheden</w:t>
            </w:r>
          </w:p>
          <w:p w14:paraId="0F0B69B5" w14:textId="1A951C07" w:rsidR="00B731E6" w:rsidRPr="001E793F" w:rsidRDefault="00F26067" w:rsidP="5A0D947F">
            <w:pPr>
              <w:spacing w:after="120"/>
              <w:jc w:val="both"/>
              <w:rPr>
                <w:rFonts w:ascii="Times New Roman" w:hAnsi="Times New Roman" w:cs="Times New Roman"/>
                <w:sz w:val="24"/>
              </w:rPr>
            </w:pPr>
            <w:r w:rsidRPr="001E793F">
              <w:rPr>
                <w:rFonts w:ascii="Times New Roman" w:hAnsi="Times New Roman"/>
                <w:sz w:val="24"/>
              </w:rPr>
              <w:t>Blootstellingen in de zin van artikel 112, punt b), van Verordening (EU) nr. 575/2013 en artikel 115, leden -1, 1, 3, 4 en 5, van Verordening (EU) nr. 575/2013 voor blootstellingen in het kader van de standaardbenadering.</w:t>
            </w:r>
          </w:p>
        </w:tc>
      </w:tr>
      <w:tr w:rsidR="00B731E6" w:rsidRPr="00BC439A" w14:paraId="5C5BD0AC" w14:textId="77777777" w:rsidTr="002623A2">
        <w:trPr>
          <w:trHeight w:val="507"/>
        </w:trPr>
        <w:tc>
          <w:tcPr>
            <w:tcW w:w="1435"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2b</w:t>
            </w:r>
          </w:p>
        </w:tc>
        <w:tc>
          <w:tcPr>
            <w:tcW w:w="7632" w:type="dxa"/>
            <w:shd w:val="clear" w:color="auto" w:fill="auto"/>
          </w:tcPr>
          <w:p w14:paraId="6B0874A8" w14:textId="7C1E20B6"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Publiekrechtelijke lichamen</w:t>
            </w:r>
          </w:p>
          <w:p w14:paraId="042D63D7" w14:textId="03ACF4BC"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Blootstellingen in de zin van artikel 4, lid 1, punt 8), van Verordening (EU) nr. 575/2013, artikel 112, punt c), en artikel 116, leden 1, 2, 3, 4 en 5, van Verordening (EU) nr. 575/2013 voor blootstellingen in het kader van de standaardbenadering.</w:t>
            </w:r>
          </w:p>
        </w:tc>
      </w:tr>
      <w:tr w:rsidR="00B731E6" w:rsidRPr="00BC439A" w14:paraId="31C58E90" w14:textId="77777777" w:rsidTr="002623A2">
        <w:trPr>
          <w:trHeight w:val="507"/>
        </w:trPr>
        <w:tc>
          <w:tcPr>
            <w:tcW w:w="1435"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w:t>
            </w:r>
          </w:p>
        </w:tc>
        <w:tc>
          <w:tcPr>
            <w:tcW w:w="7632" w:type="dxa"/>
            <w:shd w:val="clear" w:color="auto" w:fill="auto"/>
          </w:tcPr>
          <w:p w14:paraId="0D63781E" w14:textId="3D73F3E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Ondernemingen</w:t>
            </w:r>
          </w:p>
          <w:p w14:paraId="6AFAC788" w14:textId="5573092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Blootstellingen in de zin van artikel 112, punt g), en artikel 122 van Verordening (EU) nr. 575/2013.</w:t>
            </w:r>
          </w:p>
        </w:tc>
      </w:tr>
      <w:tr w:rsidR="00B731E6" w:rsidRPr="00BC439A" w14:paraId="15791A2F" w14:textId="77777777" w:rsidTr="002623A2">
        <w:trPr>
          <w:trHeight w:val="507"/>
        </w:trPr>
        <w:tc>
          <w:tcPr>
            <w:tcW w:w="1435"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6.1</w:t>
            </w:r>
          </w:p>
        </w:tc>
        <w:tc>
          <w:tcPr>
            <w:tcW w:w="7632" w:type="dxa"/>
            <w:shd w:val="clear" w:color="auto" w:fill="auto"/>
          </w:tcPr>
          <w:p w14:paraId="7434934B" w14:textId="62424925" w:rsidR="00F26067" w:rsidRPr="00FB64CF" w:rsidRDefault="00F26067" w:rsidP="5A0D947F">
            <w:pPr>
              <w:spacing w:after="120"/>
              <w:jc w:val="both"/>
              <w:rPr>
                <w:rFonts w:ascii="Times New Roman" w:hAnsi="Times New Roman" w:cs="Times New Roman"/>
                <w:b/>
                <w:bCs/>
                <w:sz w:val="24"/>
              </w:rPr>
            </w:pPr>
            <w:r>
              <w:rPr>
                <w:rFonts w:ascii="Times New Roman" w:hAnsi="Times New Roman"/>
                <w:sz w:val="24"/>
              </w:rPr>
              <w:t xml:space="preserve">  </w:t>
            </w:r>
            <w:r>
              <w:rPr>
                <w:rFonts w:ascii="Times New Roman" w:hAnsi="Times New Roman"/>
                <w:b/>
                <w:sz w:val="24"/>
              </w:rPr>
              <w:t>waarvan: gespecialiseerde kredietverlening</w:t>
            </w:r>
          </w:p>
          <w:p w14:paraId="24C0DA08" w14:textId="36A32BF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Blootstellingen in de zin van artikel 122 bis van Verordening (EU) nr. 575/2013. </w:t>
            </w:r>
          </w:p>
        </w:tc>
      </w:tr>
      <w:tr w:rsidR="00B731E6" w:rsidRPr="00BC439A" w14:paraId="5C84CA61" w14:textId="77777777" w:rsidTr="002623A2">
        <w:trPr>
          <w:trHeight w:val="507"/>
        </w:trPr>
        <w:tc>
          <w:tcPr>
            <w:tcW w:w="1435"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7</w:t>
            </w:r>
          </w:p>
        </w:tc>
        <w:tc>
          <w:tcPr>
            <w:tcW w:w="7632" w:type="dxa"/>
            <w:shd w:val="clear" w:color="auto" w:fill="auto"/>
          </w:tcPr>
          <w:p w14:paraId="4D223688" w14:textId="3E9BBE9B" w:rsidR="00F2606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Blootstellingen met betrekking tot achtergestelde schulden en eigen vermogen</w:t>
            </w:r>
          </w:p>
          <w:p w14:paraId="0AA0F933" w14:textId="77EC0BD5" w:rsidR="00B731E6" w:rsidRPr="00BC439A" w:rsidRDefault="00F26067" w:rsidP="00B731E6">
            <w:pPr>
              <w:spacing w:after="120"/>
              <w:jc w:val="both"/>
              <w:rPr>
                <w:rFonts w:ascii="Times New Roman" w:eastAsiaTheme="minorHAnsi" w:hAnsi="Times New Roman" w:cs="Times New Roman"/>
                <w:sz w:val="24"/>
              </w:rPr>
            </w:pPr>
            <w:r>
              <w:rPr>
                <w:rFonts w:ascii="Times New Roman" w:hAnsi="Times New Roman"/>
                <w:sz w:val="24"/>
              </w:rPr>
              <w:t xml:space="preserve">De som van de rijen EU 7a en EU 7b </w:t>
            </w:r>
            <w:r>
              <w:rPr>
                <w:rFonts w:ascii="Times New Roman" w:hAnsi="Times New Roman"/>
                <w:i/>
                <w:sz w:val="24"/>
              </w:rPr>
              <w:t>infra</w:t>
            </w:r>
            <w:r>
              <w:rPr>
                <w:rFonts w:ascii="Times New Roman" w:hAnsi="Times New Roman"/>
                <w:sz w:val="24"/>
              </w:rPr>
              <w:t>.</w:t>
            </w:r>
          </w:p>
        </w:tc>
      </w:tr>
      <w:tr w:rsidR="00B731E6" w:rsidRPr="00BC439A" w14:paraId="75520DAB" w14:textId="77777777" w:rsidTr="002623A2">
        <w:trPr>
          <w:trHeight w:val="507"/>
        </w:trPr>
        <w:tc>
          <w:tcPr>
            <w:tcW w:w="1435"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7a</w:t>
            </w:r>
          </w:p>
        </w:tc>
        <w:tc>
          <w:tcPr>
            <w:tcW w:w="7632" w:type="dxa"/>
            <w:shd w:val="clear" w:color="auto" w:fill="auto"/>
          </w:tcPr>
          <w:p w14:paraId="2087D858" w14:textId="358EEE2E"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Blootstellingen met betrekking tot achtergestelde schulden</w:t>
            </w:r>
          </w:p>
          <w:p w14:paraId="6A91C57C" w14:textId="5BCEFCB5"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Blootstellingen in de zin van artikel 112, punt k), en artikel 128 van Verordening (EU) nr. 575/2013.</w:t>
            </w:r>
          </w:p>
        </w:tc>
      </w:tr>
      <w:tr w:rsidR="00B731E6" w:rsidRPr="00BC439A" w14:paraId="1BA8F816" w14:textId="77777777" w:rsidTr="002623A2">
        <w:trPr>
          <w:trHeight w:val="507"/>
        </w:trPr>
        <w:tc>
          <w:tcPr>
            <w:tcW w:w="1435"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EU 7b</w:t>
            </w:r>
          </w:p>
        </w:tc>
        <w:tc>
          <w:tcPr>
            <w:tcW w:w="7632" w:type="dxa"/>
            <w:shd w:val="clear" w:color="auto" w:fill="auto"/>
          </w:tcPr>
          <w:p w14:paraId="1433F3D8" w14:textId="30F87742"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Eigen vermogen</w:t>
            </w:r>
          </w:p>
          <w:p w14:paraId="191A2924" w14:textId="2CDA6797"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lastRenderedPageBreak/>
              <w:t>Blootstellingen in de zin van artikel 112, punt p), en artikel 133, lid 1, van Verordening (EU) nr. 575/2013.</w:t>
            </w:r>
          </w:p>
        </w:tc>
      </w:tr>
      <w:tr w:rsidR="00B731E6" w:rsidRPr="00166E0C" w14:paraId="2F5024A7" w14:textId="77777777" w:rsidTr="002623A2">
        <w:trPr>
          <w:trHeight w:val="507"/>
        </w:trPr>
        <w:tc>
          <w:tcPr>
            <w:tcW w:w="1435"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w:t>
            </w:r>
          </w:p>
        </w:tc>
        <w:tc>
          <w:tcPr>
            <w:tcW w:w="7632" w:type="dxa"/>
            <w:shd w:val="clear" w:color="auto" w:fill="auto"/>
          </w:tcPr>
          <w:p w14:paraId="6F18D30C" w14:textId="20BDB687" w:rsidR="00F26067" w:rsidRPr="00FB64CF" w:rsidRDefault="0B701945" w:rsidP="5A0D947F">
            <w:pPr>
              <w:spacing w:after="120"/>
              <w:jc w:val="both"/>
              <w:rPr>
                <w:rFonts w:ascii="Times New Roman" w:hAnsi="Times New Roman" w:cs="Times New Roman"/>
                <w:b/>
                <w:bCs/>
                <w:sz w:val="24"/>
              </w:rPr>
            </w:pPr>
            <w:r>
              <w:rPr>
                <w:rFonts w:ascii="Times New Roman" w:hAnsi="Times New Roman"/>
                <w:b/>
                <w:sz w:val="24"/>
              </w:rPr>
              <w:t>Gedekt door hypotheken op onroerend goed en ADC-blootstellingen</w:t>
            </w:r>
          </w:p>
          <w:p w14:paraId="652029AE" w14:textId="28474DBD" w:rsidR="00B731E6" w:rsidRPr="00166E0C" w:rsidRDefault="00F26067" w:rsidP="5A0D947F">
            <w:pPr>
              <w:spacing w:after="120"/>
              <w:jc w:val="both"/>
              <w:rPr>
                <w:rFonts w:ascii="Times New Roman" w:hAnsi="Times New Roman" w:cs="Times New Roman"/>
                <w:sz w:val="24"/>
              </w:rPr>
            </w:pPr>
            <w:r>
              <w:rPr>
                <w:rFonts w:ascii="Times New Roman" w:hAnsi="Times New Roman"/>
                <w:sz w:val="24"/>
              </w:rPr>
              <w:t>Blootstellingen die gedekt zijn door onroerend goed in de zin van artikel 4, lid 1, punten 75) tot en met 75f), van Verordening (EU) nr. 575/2013 en blootstellingen in de zin van artikel 4, lid 1, punt 78 bis, van Verordening (EU) nr. 575/2013 worden hier gerapporteerd.</w:t>
            </w:r>
          </w:p>
          <w:p w14:paraId="03F0288C" w14:textId="5F4104D7" w:rsidR="00324117" w:rsidRPr="00166E0C" w:rsidRDefault="00324117" w:rsidP="00B731E6">
            <w:pPr>
              <w:spacing w:after="120"/>
              <w:jc w:val="both"/>
              <w:rPr>
                <w:rFonts w:ascii="Times New Roman" w:eastAsiaTheme="minorHAnsi" w:hAnsi="Times New Roman" w:cs="Times New Roman"/>
                <w:sz w:val="24"/>
              </w:rPr>
            </w:pPr>
            <w:r>
              <w:rPr>
                <w:rFonts w:ascii="Times New Roman" w:hAnsi="Times New Roman"/>
                <w:sz w:val="24"/>
              </w:rPr>
              <w:t>Deze rij is de som van de rijen 9.1; 9.2; 9.3; 9.4 en 9.5.</w:t>
            </w:r>
          </w:p>
        </w:tc>
      </w:tr>
      <w:tr w:rsidR="00B731E6" w:rsidRPr="00166E0C" w14:paraId="33B98B6E" w14:textId="77777777" w:rsidTr="002623A2">
        <w:trPr>
          <w:trHeight w:val="507"/>
        </w:trPr>
        <w:tc>
          <w:tcPr>
            <w:tcW w:w="1435"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w:t>
            </w:r>
          </w:p>
        </w:tc>
        <w:tc>
          <w:tcPr>
            <w:tcW w:w="7632" w:type="dxa"/>
            <w:shd w:val="clear" w:color="auto" w:fill="auto"/>
          </w:tcPr>
          <w:p w14:paraId="0DE2BD5F" w14:textId="7880F40C" w:rsidR="00F26067" w:rsidRPr="00FB64CF" w:rsidRDefault="00B731E6" w:rsidP="007750BC">
            <w:pPr>
              <w:spacing w:after="120"/>
              <w:jc w:val="both"/>
              <w:rPr>
                <w:rFonts w:ascii="Times New Roman" w:eastAsiaTheme="minorHAnsi" w:hAnsi="Times New Roman" w:cs="Times New Roman"/>
                <w:b/>
                <w:bCs/>
                <w:sz w:val="24"/>
              </w:rPr>
            </w:pPr>
            <w:r>
              <w:rPr>
                <w:rFonts w:ascii="Times New Roman" w:hAnsi="Times New Roman"/>
                <w:b/>
                <w:sz w:val="24"/>
              </w:rPr>
              <w:t>Gedekt door hypotheken op niet-zakelijk onroerend goed — niet-IPRE</w:t>
            </w:r>
          </w:p>
          <w:p w14:paraId="1A8747F6" w14:textId="045D4EEB" w:rsidR="00F26067" w:rsidRPr="00166E0C" w:rsidRDefault="00F26067" w:rsidP="007750BC">
            <w:pPr>
              <w:spacing w:after="120"/>
              <w:jc w:val="both"/>
              <w:rPr>
                <w:rFonts w:ascii="Times New Roman" w:hAnsi="Times New Roman" w:cs="Times New Roman"/>
                <w:bCs/>
                <w:sz w:val="24"/>
              </w:rPr>
            </w:pPr>
            <w:r>
              <w:rPr>
                <w:rFonts w:ascii="Times New Roman" w:hAnsi="Times New Roman"/>
                <w:sz w:val="24"/>
              </w:rPr>
              <w:t>Blootstellingen die worden behandeld overeenkomstig artikel 125, lid 1, van Verordening (EU) nr. 575/2013 worden hier openbaargemaakt.</w:t>
            </w:r>
          </w:p>
          <w:p w14:paraId="739769BE" w14:textId="77777777" w:rsidR="00FB64CF" w:rsidRDefault="007750BC" w:rsidP="007750BC">
            <w:pPr>
              <w:spacing w:after="120"/>
              <w:jc w:val="both"/>
              <w:rPr>
                <w:rFonts w:ascii="Times New Roman" w:eastAsiaTheme="minorHAnsi" w:hAnsi="Times New Roman"/>
                <w:sz w:val="24"/>
              </w:rPr>
            </w:pPr>
            <w:r>
              <w:rPr>
                <w:rFonts w:ascii="Times New Roman" w:hAnsi="Times New Roman"/>
                <w:sz w:val="24"/>
              </w:rPr>
              <w:br/>
              <w:t>In deze rij worden ook openbaargemaakt: andere door hypotheken op niet-zakelijk onroerend goed gedekte blootstellingen die niet aan de voorwaarden van artikel 124, lid 3, van Verordening (EU) nr. 575/2013 voldoen; of enig deel van een niet-ADC-blootstelling dat het nominale bedrag van het pandrecht van het onroerend goed als bedoeld in artikel 124, lid 1, punt a), van Verordening (EU) nr. 575/2013 overschrijdt.</w:t>
            </w:r>
          </w:p>
          <w:p w14:paraId="432D1633" w14:textId="5C6396A7" w:rsidR="004E3D87" w:rsidRPr="00166E0C" w:rsidRDefault="004E3D87" w:rsidP="007750BC">
            <w:pPr>
              <w:spacing w:after="120"/>
              <w:jc w:val="both"/>
              <w:rPr>
                <w:rFonts w:ascii="Times New Roman" w:hAnsi="Times New Roman" w:cs="Times New Roman"/>
                <w:bCs/>
                <w:sz w:val="24"/>
              </w:rPr>
            </w:pPr>
            <w:r>
              <w:rPr>
                <w:rFonts w:ascii="Times New Roman" w:hAnsi="Times New Roman"/>
                <w:sz w:val="24"/>
              </w:rPr>
              <w:t>Deze rij is de som van de rijen 9.1.1, 9.1.2 en 9.1.3.</w:t>
            </w:r>
          </w:p>
        </w:tc>
      </w:tr>
      <w:tr w:rsidR="00B731E6" w:rsidRPr="00166E0C" w14:paraId="3757A5E1" w14:textId="77777777" w:rsidTr="002623A2">
        <w:trPr>
          <w:trHeight w:val="507"/>
        </w:trPr>
        <w:tc>
          <w:tcPr>
            <w:tcW w:w="1435" w:type="dxa"/>
            <w:shd w:val="clear" w:color="auto" w:fill="auto"/>
          </w:tcPr>
          <w:p w14:paraId="6947CF4E" w14:textId="20DCDB3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9.1.1</w:t>
            </w:r>
          </w:p>
        </w:tc>
        <w:tc>
          <w:tcPr>
            <w:tcW w:w="7632" w:type="dxa"/>
            <w:shd w:val="clear" w:color="auto" w:fill="auto"/>
          </w:tcPr>
          <w:p w14:paraId="7643D411" w14:textId="53D2093F" w:rsidR="00F26067" w:rsidRPr="00FB64CF" w:rsidRDefault="00F26067" w:rsidP="00B731E6">
            <w:pPr>
              <w:spacing w:after="120"/>
              <w:jc w:val="both"/>
              <w:rPr>
                <w:rFonts w:ascii="Times New Roman" w:eastAsiaTheme="minorHAnsi" w:hAnsi="Times New Roman" w:cs="Times New Roman"/>
                <w:b/>
                <w:bCs/>
                <w:sz w:val="24"/>
              </w:rPr>
            </w:pPr>
            <w:r>
              <w:rPr>
                <w:rFonts w:ascii="Times New Roman" w:hAnsi="Times New Roman"/>
                <w:b/>
                <w:sz w:val="24"/>
              </w:rPr>
              <w:t>Geen loan-splitting toegepast</w:t>
            </w:r>
          </w:p>
          <w:p w14:paraId="02E8C845" w14:textId="57A0B1B1" w:rsidR="00B731E6" w:rsidRPr="00166E0C" w:rsidRDefault="00F26067" w:rsidP="00B731E6">
            <w:pPr>
              <w:spacing w:after="120"/>
              <w:jc w:val="both"/>
              <w:rPr>
                <w:rFonts w:ascii="Times New Roman" w:eastAsiaTheme="minorHAnsi" w:hAnsi="Times New Roman" w:cs="Times New Roman"/>
                <w:sz w:val="24"/>
              </w:rPr>
            </w:pPr>
            <w:r>
              <w:rPr>
                <w:rFonts w:ascii="Times New Roman" w:hAnsi="Times New Roman"/>
                <w:sz w:val="24"/>
              </w:rPr>
              <w:t xml:space="preserve">Blootstellingen die gedekt zijn door hypotheken op niet-zakelijk onroerend goed – niet-IPRE, waarop de in artikel 125, lid 1, van Verordening (EU) nr. 575/2013 beschreven methode voor loan-splitting niet van toepassing is. </w:t>
            </w:r>
          </w:p>
        </w:tc>
      </w:tr>
      <w:tr w:rsidR="00B731E6" w:rsidRPr="00BC439A" w14:paraId="7102D657" w14:textId="77777777" w:rsidTr="002623A2">
        <w:trPr>
          <w:trHeight w:val="507"/>
        </w:trPr>
        <w:tc>
          <w:tcPr>
            <w:tcW w:w="1435" w:type="dxa"/>
            <w:shd w:val="clear" w:color="auto" w:fill="auto"/>
          </w:tcPr>
          <w:p w14:paraId="38838607" w14:textId="5063C525"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9.1.2</w:t>
            </w:r>
          </w:p>
        </w:tc>
        <w:tc>
          <w:tcPr>
            <w:tcW w:w="7632" w:type="dxa"/>
            <w:shd w:val="clear" w:color="auto" w:fill="auto"/>
          </w:tcPr>
          <w:p w14:paraId="0F9D3D69" w14:textId="1E8EFD2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Loan-splitting toegepast (gedekt)</w:t>
            </w:r>
          </w:p>
          <w:p w14:paraId="28B98A7E" w14:textId="6E936DED"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Gedekte delen van blootstellingen die gedekt zijn door hypotheken op niet-zakelijk onroerend goed, waarop de in artikel 125, lid 1, punt a), van Verordening (EU) nr. 575/2013 beschreven methode voor loan-splitting van toepassing is.</w:t>
            </w:r>
          </w:p>
        </w:tc>
      </w:tr>
      <w:tr w:rsidR="00B731E6" w:rsidRPr="00BC439A" w14:paraId="0CDDB3DF" w14:textId="77777777" w:rsidTr="002623A2">
        <w:trPr>
          <w:trHeight w:val="507"/>
        </w:trPr>
        <w:tc>
          <w:tcPr>
            <w:tcW w:w="1435" w:type="dxa"/>
            <w:shd w:val="clear" w:color="auto" w:fill="auto"/>
          </w:tcPr>
          <w:p w14:paraId="14E5CE41" w14:textId="2C251DB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9.1.3</w:t>
            </w:r>
          </w:p>
        </w:tc>
        <w:tc>
          <w:tcPr>
            <w:tcW w:w="7632" w:type="dxa"/>
            <w:shd w:val="clear" w:color="auto" w:fill="auto"/>
          </w:tcPr>
          <w:p w14:paraId="276011BB" w14:textId="26F29D4D" w:rsidR="00F26067" w:rsidRPr="00FB64CF" w:rsidRDefault="00F26067" w:rsidP="5A0D947F">
            <w:pPr>
              <w:spacing w:after="120"/>
              <w:jc w:val="both"/>
              <w:rPr>
                <w:rFonts w:ascii="Times New Roman" w:hAnsi="Times New Roman" w:cs="Times New Roman"/>
                <w:b/>
                <w:bCs/>
                <w:sz w:val="24"/>
              </w:rPr>
            </w:pPr>
            <w:r>
              <w:rPr>
                <w:rFonts w:ascii="Times New Roman" w:hAnsi="Times New Roman"/>
                <w:b/>
                <w:sz w:val="24"/>
              </w:rPr>
              <w:t>Loan-splitting toegepast (ongedekt)</w:t>
            </w:r>
          </w:p>
          <w:p w14:paraId="4F2656D3" w14:textId="59CF83C6" w:rsidR="00B731E6" w:rsidRPr="00BC439A" w:rsidRDefault="00F26067" w:rsidP="5A0D947F">
            <w:pPr>
              <w:spacing w:after="120"/>
              <w:jc w:val="both"/>
              <w:rPr>
                <w:rFonts w:ascii="Times New Roman" w:hAnsi="Times New Roman" w:cs="Times New Roman"/>
                <w:sz w:val="24"/>
              </w:rPr>
            </w:pPr>
            <w:r>
              <w:rPr>
                <w:rFonts w:ascii="Times New Roman" w:hAnsi="Times New Roman"/>
                <w:sz w:val="24"/>
              </w:rPr>
              <w:t xml:space="preserve">De overige delen van blootstellingen die gedekt zijn door hypotheken op niet-zakelijk onroerend goed, waarop de in artikel 125, lid 1, van Verordening (EU) nr. 575/2013 beschreven methode voor loan-splitting van toepassing is. </w:t>
            </w:r>
          </w:p>
        </w:tc>
      </w:tr>
      <w:tr w:rsidR="00B731E6" w:rsidRPr="00166E0C" w14:paraId="2B7F44F7" w14:textId="77777777" w:rsidTr="002623A2">
        <w:trPr>
          <w:trHeight w:val="507"/>
        </w:trPr>
        <w:tc>
          <w:tcPr>
            <w:tcW w:w="1435"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9.2</w:t>
            </w:r>
          </w:p>
        </w:tc>
        <w:tc>
          <w:tcPr>
            <w:tcW w:w="7632" w:type="dxa"/>
            <w:shd w:val="clear" w:color="auto" w:fill="auto"/>
          </w:tcPr>
          <w:p w14:paraId="70C82B6D" w14:textId="2D504FDB"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Gedekt door hypotheken op niet-zakelijk onroerend goed — IPRE</w:t>
            </w:r>
          </w:p>
          <w:p w14:paraId="4E83C986" w14:textId="06AEEF5B"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Hier worden blootstellingen gerapporteerd die aan de definitie van artikel 4, lid 1, punt 75 ter), van Verordening (EU) nr. 575/2013 voldoen.</w:t>
            </w:r>
          </w:p>
          <w:p w14:paraId="46AB10B2" w14:textId="77777777" w:rsidR="008D77B1" w:rsidRPr="00166E0C" w:rsidRDefault="00BC2787" w:rsidP="5A0D947F">
            <w:pPr>
              <w:spacing w:after="120"/>
              <w:jc w:val="both"/>
              <w:rPr>
                <w:rFonts w:ascii="Times New Roman" w:hAnsi="Times New Roman" w:cs="Times New Roman"/>
                <w:sz w:val="24"/>
              </w:rPr>
            </w:pPr>
            <w:r>
              <w:rPr>
                <w:rFonts w:ascii="Times New Roman" w:hAnsi="Times New Roman"/>
                <w:sz w:val="24"/>
              </w:rPr>
              <w:t xml:space="preserve">In deze rij worden ook openbaargemaakt: </w:t>
            </w:r>
          </w:p>
          <w:p w14:paraId="56D10EDE" w14:textId="53C433B5"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andere blootstellingen die gedekt zijn door hypotheken op niet-zakelijk onroerend goed — IPRE — die niet voldoen aan de voorwaarden van artikel 124, lid 3, of een gedeelte van een niet-ADC-blootstelling dat het nominale bedrag van het pandrecht van het onroerend goed als bedoeld in artikel 124, lid 1, punt b), van Verordening (EU) nr. 575/2013 overschrijdt;</w:t>
            </w:r>
          </w:p>
          <w:p w14:paraId="54B1CD31" w14:textId="77777777" w:rsidR="00DE1541" w:rsidRDefault="008D77B1" w:rsidP="5A0D947F">
            <w:pPr>
              <w:spacing w:after="120"/>
              <w:jc w:val="both"/>
              <w:rPr>
                <w:rFonts w:ascii="Times New Roman" w:hAnsi="Times New Roman" w:cs="Times New Roman"/>
                <w:bCs/>
                <w:sz w:val="24"/>
              </w:rPr>
            </w:pPr>
            <w:r>
              <w:rPr>
                <w:rFonts w:ascii="Times New Roman" w:hAnsi="Times New Roman"/>
                <w:sz w:val="24"/>
              </w:rPr>
              <w:lastRenderedPageBreak/>
              <w:t xml:space="preserve">- blootstellingen met betrekking tot IPRE die voldoen aan een van de voorwaarden van artikel 124, lid 2, punt a), ii), 1) tot en met 4), van Verordening (EU) nr. 575/2013; </w:t>
            </w:r>
          </w:p>
          <w:p w14:paraId="2A0561A2" w14:textId="62F31EDE" w:rsidR="00BC2787" w:rsidRPr="00166E0C" w:rsidRDefault="00DE1541" w:rsidP="5A0D947F">
            <w:pPr>
              <w:spacing w:after="120"/>
              <w:jc w:val="both"/>
              <w:rPr>
                <w:rFonts w:ascii="Times New Roman" w:hAnsi="Times New Roman" w:cs="Times New Roman"/>
                <w:sz w:val="24"/>
              </w:rPr>
            </w:pPr>
            <w:r>
              <w:rPr>
                <w:rFonts w:ascii="Times New Roman" w:hAnsi="Times New Roman"/>
                <w:sz w:val="24"/>
              </w:rPr>
              <w:t>- IPRE-blootstellingen waarbij de afwijking van artikel 125, lid 2, van Verordening (EU) nr. 575/2013 wordt toegepast.</w:t>
            </w:r>
          </w:p>
        </w:tc>
      </w:tr>
      <w:tr w:rsidR="00B731E6" w:rsidRPr="00166E0C" w14:paraId="755FF524" w14:textId="77777777" w:rsidTr="002623A2">
        <w:trPr>
          <w:trHeight w:val="507"/>
        </w:trPr>
        <w:tc>
          <w:tcPr>
            <w:tcW w:w="1435"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lastRenderedPageBreak/>
              <w:t>9.3</w:t>
            </w:r>
          </w:p>
        </w:tc>
        <w:tc>
          <w:tcPr>
            <w:tcW w:w="7632" w:type="dxa"/>
            <w:shd w:val="clear" w:color="auto" w:fill="auto"/>
          </w:tcPr>
          <w:p w14:paraId="1FB5BC8C" w14:textId="150F29C1"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Gedekt door hypotheken op zakelijk onroerend goed — niet-IPRE</w:t>
            </w:r>
          </w:p>
          <w:p w14:paraId="6D774530" w14:textId="076B20CB" w:rsidR="00B731E6" w:rsidRPr="00166E0C" w:rsidRDefault="00AF5657" w:rsidP="00B731E6">
            <w:pPr>
              <w:spacing w:after="120"/>
              <w:jc w:val="both"/>
              <w:rPr>
                <w:rFonts w:ascii="Times New Roman" w:hAnsi="Times New Roman" w:cs="Times New Roman"/>
                <w:bCs/>
                <w:sz w:val="24"/>
              </w:rPr>
            </w:pPr>
            <w:r>
              <w:rPr>
                <w:rFonts w:ascii="Times New Roman" w:hAnsi="Times New Roman"/>
                <w:sz w:val="24"/>
              </w:rPr>
              <w:t>Blootstellingen die worden behandeld overeenkomstig artikel 126, lid 1, van Verordening (EU) nr. 575/2013 worden hier openbaargemaakt.</w:t>
            </w:r>
          </w:p>
          <w:p w14:paraId="7E6B1435" w14:textId="2E512A61" w:rsidR="00DA7EF5" w:rsidRPr="00166E0C" w:rsidRDefault="0033556A" w:rsidP="00B731E6">
            <w:pPr>
              <w:spacing w:after="120"/>
              <w:jc w:val="both"/>
              <w:rPr>
                <w:rFonts w:ascii="Times New Roman" w:hAnsi="Times New Roman" w:cs="Times New Roman"/>
                <w:bCs/>
                <w:sz w:val="24"/>
              </w:rPr>
            </w:pPr>
            <w:r>
              <w:rPr>
                <w:rFonts w:ascii="Times New Roman" w:hAnsi="Times New Roman"/>
                <w:sz w:val="24"/>
              </w:rPr>
              <w:t>In deze rij worden ook openbaargemaakt: andere blootstellingen die gedekt zijn door hypotheken op zakelijk onroerend goed — niet-IPRE — die niet voldoen aan de voorwaarden van artikel 124, lid 3, of een gedeelte van een niet-ADC-blootstelling dat het nominale bedrag van het pandrecht van het onroerend goed als bedoeld in artikel 124, lid 1, punt a), van Verordening (EU) nr. 575/2013 overschrijdt.</w:t>
            </w:r>
          </w:p>
          <w:p w14:paraId="3A4B49EE" w14:textId="21BC011B" w:rsidR="007E0548" w:rsidRPr="00166E0C" w:rsidRDefault="007E0548" w:rsidP="00B731E6">
            <w:pPr>
              <w:spacing w:after="120"/>
              <w:jc w:val="both"/>
              <w:rPr>
                <w:rFonts w:ascii="Times New Roman" w:eastAsiaTheme="minorHAnsi" w:hAnsi="Times New Roman" w:cs="Times New Roman"/>
                <w:sz w:val="24"/>
              </w:rPr>
            </w:pPr>
            <w:r>
              <w:rPr>
                <w:rFonts w:ascii="Times New Roman" w:hAnsi="Times New Roman"/>
                <w:sz w:val="24"/>
              </w:rPr>
              <w:t>Deze rij is de som van de rijen 9.3.1, 9.3.2 en 9.3.3.</w:t>
            </w:r>
          </w:p>
        </w:tc>
      </w:tr>
      <w:tr w:rsidR="00B731E6" w:rsidRPr="00BC439A" w14:paraId="2A6FA185" w14:textId="77777777" w:rsidTr="002623A2">
        <w:trPr>
          <w:trHeight w:val="507"/>
        </w:trPr>
        <w:tc>
          <w:tcPr>
            <w:tcW w:w="1435"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9.3.1</w:t>
            </w:r>
          </w:p>
        </w:tc>
        <w:tc>
          <w:tcPr>
            <w:tcW w:w="7632" w:type="dxa"/>
            <w:shd w:val="clear" w:color="auto" w:fill="auto"/>
          </w:tcPr>
          <w:p w14:paraId="6F533409" w14:textId="44833E01"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Geen loan-splitting toegepast</w:t>
            </w:r>
          </w:p>
          <w:p w14:paraId="189515BD" w14:textId="4BE4C9FD"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Blootstellingen die gedekt zijn door hypotheken op zakelijk onroerend goed, waarop de in artikel 126, lid 1, van Verordening (EU) nr. 575/2013 beschreven methode voor loan-splitting niet van toepassing is.</w:t>
            </w:r>
          </w:p>
        </w:tc>
      </w:tr>
      <w:tr w:rsidR="00B731E6" w:rsidRPr="00BC439A" w14:paraId="536C5813" w14:textId="77777777" w:rsidTr="002623A2">
        <w:trPr>
          <w:trHeight w:val="507"/>
        </w:trPr>
        <w:tc>
          <w:tcPr>
            <w:tcW w:w="1435" w:type="dxa"/>
            <w:shd w:val="clear" w:color="auto" w:fill="auto"/>
          </w:tcPr>
          <w:p w14:paraId="17942517" w14:textId="2325CC59"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9.3.2</w:t>
            </w:r>
          </w:p>
        </w:tc>
        <w:tc>
          <w:tcPr>
            <w:tcW w:w="7632" w:type="dxa"/>
            <w:shd w:val="clear" w:color="auto" w:fill="auto"/>
          </w:tcPr>
          <w:p w14:paraId="2A4977BE" w14:textId="7C1D393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Loan-splitting toegepast (gedekt)</w:t>
            </w:r>
          </w:p>
          <w:p w14:paraId="295F988E" w14:textId="163AC5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Het gedekte deel van blootstellingen die gedekt zijn door hypotheken op zakelijk onroerend goed, waarop de in artikel 126, lid 1, van Verordening (EU) nr. 575/2013 beschreven methode voor loan-splitting van toepassing is.</w:t>
            </w:r>
          </w:p>
        </w:tc>
      </w:tr>
      <w:tr w:rsidR="00B731E6" w:rsidRPr="00BC439A" w14:paraId="32A17F28" w14:textId="77777777" w:rsidTr="002623A2">
        <w:trPr>
          <w:trHeight w:val="507"/>
        </w:trPr>
        <w:tc>
          <w:tcPr>
            <w:tcW w:w="1435" w:type="dxa"/>
            <w:shd w:val="clear" w:color="auto" w:fill="auto"/>
          </w:tcPr>
          <w:p w14:paraId="7E7BBE98" w14:textId="308FFA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9.3.3</w:t>
            </w:r>
          </w:p>
        </w:tc>
        <w:tc>
          <w:tcPr>
            <w:tcW w:w="7632" w:type="dxa"/>
            <w:shd w:val="clear" w:color="auto" w:fill="auto"/>
          </w:tcPr>
          <w:p w14:paraId="4ECB5244" w14:textId="1E8E28D6" w:rsidR="00AF5657" w:rsidRPr="00FB64CF" w:rsidRDefault="00AF5657" w:rsidP="5A0D947F">
            <w:pPr>
              <w:spacing w:after="120"/>
              <w:jc w:val="both"/>
              <w:rPr>
                <w:rFonts w:ascii="Times New Roman" w:hAnsi="Times New Roman" w:cs="Times New Roman"/>
                <w:b/>
                <w:bCs/>
                <w:sz w:val="24"/>
              </w:rPr>
            </w:pPr>
            <w:r>
              <w:rPr>
                <w:rFonts w:ascii="Times New Roman" w:hAnsi="Times New Roman"/>
                <w:b/>
                <w:sz w:val="24"/>
              </w:rPr>
              <w:t>Loan-splitting toegepast (ongedekt)</w:t>
            </w:r>
          </w:p>
          <w:p w14:paraId="6C4BCA6C" w14:textId="42BC1D87"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De overige delen van blootstellingen die gedekt zijn door hypotheken op zakelijk onroerend goed, waarop de in artikel 126, lid 1, van Verordening (EU) nr. 575/2013 beschreven methode voor loan-splitting van toepassing is.</w:t>
            </w:r>
          </w:p>
        </w:tc>
      </w:tr>
      <w:tr w:rsidR="00B731E6" w:rsidRPr="00166E0C" w14:paraId="75CE8B5A" w14:textId="77777777" w:rsidTr="002623A2">
        <w:trPr>
          <w:trHeight w:val="507"/>
        </w:trPr>
        <w:tc>
          <w:tcPr>
            <w:tcW w:w="1435"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9.4</w:t>
            </w:r>
          </w:p>
        </w:tc>
        <w:tc>
          <w:tcPr>
            <w:tcW w:w="7632" w:type="dxa"/>
            <w:shd w:val="clear" w:color="auto" w:fill="auto"/>
          </w:tcPr>
          <w:p w14:paraId="5DC2F5DD" w14:textId="1CB33C48"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Gedekt door hypotheken op zakelijk onroerend goed — IPRE</w:t>
            </w:r>
          </w:p>
          <w:p w14:paraId="6B5C20F3" w14:textId="231C48A9" w:rsidR="00B731E6" w:rsidRPr="00166E0C" w:rsidRDefault="00AF5657" w:rsidP="5A0D947F">
            <w:pPr>
              <w:spacing w:after="120"/>
              <w:jc w:val="both"/>
              <w:rPr>
                <w:rFonts w:ascii="Times New Roman" w:hAnsi="Times New Roman" w:cs="Times New Roman"/>
                <w:sz w:val="24"/>
              </w:rPr>
            </w:pPr>
            <w:r>
              <w:rPr>
                <w:rFonts w:ascii="Times New Roman" w:hAnsi="Times New Roman"/>
                <w:sz w:val="24"/>
              </w:rPr>
              <w:t xml:space="preserve">Hier worden enkel blootstellingen gerapporteerd die aan de definitie van artikel 4, lid 1, punt 75 ter), en artikel 124, lid 2, punt b), ii), van Verordening (EU) nr. 575/2013 voldoen. </w:t>
            </w:r>
          </w:p>
          <w:p w14:paraId="753C2F57" w14:textId="77777777" w:rsidR="008D77B1" w:rsidRPr="00166E0C" w:rsidRDefault="00DA7EF5" w:rsidP="5A0D947F">
            <w:pPr>
              <w:spacing w:after="120"/>
              <w:jc w:val="both"/>
              <w:rPr>
                <w:rFonts w:ascii="Times New Roman" w:hAnsi="Times New Roman" w:cs="Times New Roman"/>
                <w:sz w:val="24"/>
              </w:rPr>
            </w:pPr>
            <w:r>
              <w:rPr>
                <w:rFonts w:ascii="Times New Roman" w:hAnsi="Times New Roman"/>
                <w:sz w:val="24"/>
              </w:rPr>
              <w:t>In deze rij worden ook openbaargemaakt:</w:t>
            </w:r>
          </w:p>
          <w:p w14:paraId="5FECF5F7" w14:textId="5AE5B58A" w:rsidR="008D77B1" w:rsidRPr="00166E0C" w:rsidRDefault="008D77B1" w:rsidP="5A0D947F">
            <w:pPr>
              <w:spacing w:after="120"/>
              <w:jc w:val="both"/>
              <w:rPr>
                <w:rFonts w:ascii="Times New Roman" w:eastAsiaTheme="minorHAnsi" w:hAnsi="Times New Roman" w:cs="Times New Roman"/>
                <w:sz w:val="24"/>
              </w:rPr>
            </w:pPr>
            <w:r>
              <w:rPr>
                <w:rFonts w:ascii="Times New Roman" w:hAnsi="Times New Roman"/>
                <w:sz w:val="24"/>
              </w:rPr>
              <w:t>- andere blootstellingen die gedekt zijn door hypotheken op zakelijk onroerend goed — IPRE — die niet voldoen aan de voorwaarden van artikel 124, lid 3, of een gedeelte van een niet-ADC-blootstelling dat het nominale bedrag van het pandrecht van het onroerend goed als bedoeld in artikel 124, lid 1, punt b), van Verordening (EU) nr. 575/2013 overschrijdt;</w:t>
            </w:r>
          </w:p>
          <w:p w14:paraId="7685605B" w14:textId="29DF1160" w:rsidR="00DA7EF5" w:rsidRPr="00166E0C" w:rsidRDefault="008D77B1" w:rsidP="5A0D947F">
            <w:pPr>
              <w:spacing w:after="120"/>
              <w:jc w:val="both"/>
              <w:rPr>
                <w:rFonts w:ascii="Times New Roman" w:hAnsi="Times New Roman" w:cs="Times New Roman"/>
                <w:bCs/>
                <w:sz w:val="24"/>
              </w:rPr>
            </w:pPr>
            <w:r>
              <w:rPr>
                <w:rFonts w:ascii="Times New Roman" w:hAnsi="Times New Roman"/>
                <w:sz w:val="24"/>
              </w:rPr>
              <w:t>- IPRE-blootstellingen waarbij de afwijking van artikel 126, lid 2, van Verordening (EU) nr. 575/2014 wordt toegepast.</w:t>
            </w:r>
          </w:p>
        </w:tc>
      </w:tr>
      <w:tr w:rsidR="00B731E6" w:rsidRPr="00BC439A" w14:paraId="20764392" w14:textId="77777777" w:rsidTr="002623A2">
        <w:trPr>
          <w:trHeight w:val="507"/>
        </w:trPr>
        <w:tc>
          <w:tcPr>
            <w:tcW w:w="1435"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9.5</w:t>
            </w:r>
          </w:p>
        </w:tc>
        <w:tc>
          <w:tcPr>
            <w:tcW w:w="7632" w:type="dxa"/>
            <w:shd w:val="clear" w:color="auto" w:fill="auto"/>
          </w:tcPr>
          <w:p w14:paraId="341A3252" w14:textId="49B1967E" w:rsidR="00AF5657" w:rsidRPr="00FB64CF" w:rsidRDefault="0B701945" w:rsidP="5A0D947F">
            <w:pPr>
              <w:spacing w:after="120"/>
              <w:jc w:val="both"/>
              <w:rPr>
                <w:rFonts w:ascii="Times New Roman" w:hAnsi="Times New Roman" w:cs="Times New Roman"/>
                <w:b/>
                <w:bCs/>
                <w:sz w:val="24"/>
              </w:rPr>
            </w:pPr>
            <w:r>
              <w:rPr>
                <w:rFonts w:ascii="Times New Roman" w:hAnsi="Times New Roman"/>
                <w:b/>
                <w:sz w:val="24"/>
              </w:rPr>
              <w:t>Verwerving, ontwikkeling en bouw (ADC)</w:t>
            </w:r>
          </w:p>
          <w:p w14:paraId="0F969F9F" w14:textId="52C7FD3B" w:rsidR="00B731E6" w:rsidRPr="00BC439A" w:rsidRDefault="00AF5657" w:rsidP="5A0D947F">
            <w:pPr>
              <w:spacing w:after="120"/>
              <w:jc w:val="both"/>
              <w:rPr>
                <w:rFonts w:ascii="Times New Roman" w:hAnsi="Times New Roman" w:cs="Times New Roman"/>
                <w:sz w:val="24"/>
              </w:rPr>
            </w:pPr>
            <w:r>
              <w:rPr>
                <w:rFonts w:ascii="Times New Roman" w:hAnsi="Times New Roman"/>
                <w:sz w:val="24"/>
              </w:rPr>
              <w:t>Hier worden alleen blootstellingen gerapporteerd die aan de definitie van artikel 4, lid 1, punt 78 bis), van Verordening (EU) nr. 575/2013 voldoen.</w:t>
            </w:r>
          </w:p>
        </w:tc>
      </w:tr>
      <w:tr w:rsidR="00B731E6" w:rsidRPr="00BC439A" w14:paraId="55E6C904" w14:textId="77777777" w:rsidTr="002623A2">
        <w:trPr>
          <w:trHeight w:val="4791"/>
        </w:trPr>
        <w:tc>
          <w:tcPr>
            <w:tcW w:w="1435" w:type="dxa"/>
          </w:tcPr>
          <w:p w14:paraId="1A19FACE" w14:textId="25B6BF34" w:rsidR="00B731E6" w:rsidRPr="00166E0C" w:rsidRDefault="6D7E96F7">
            <w:pPr>
              <w:spacing w:after="120"/>
              <w:jc w:val="both"/>
              <w:rPr>
                <w:rFonts w:ascii="Times New Roman" w:eastAsia="Times New Roman" w:hAnsi="Times New Roman" w:cs="Times New Roman"/>
                <w:sz w:val="24"/>
              </w:rPr>
            </w:pPr>
            <w:r>
              <w:rPr>
                <w:rFonts w:ascii="Times New Roman" w:hAnsi="Times New Roman"/>
                <w:sz w:val="24"/>
              </w:rPr>
              <w:lastRenderedPageBreak/>
              <w:t>EU 10c</w:t>
            </w:r>
          </w:p>
        </w:tc>
        <w:tc>
          <w:tcPr>
            <w:tcW w:w="7632" w:type="dxa"/>
          </w:tcPr>
          <w:p w14:paraId="44064BA9" w14:textId="08D5F5C0" w:rsidR="00AF5657" w:rsidRPr="00FB64CF" w:rsidRDefault="00B731E6" w:rsidP="00B731E6">
            <w:pPr>
              <w:spacing w:after="120"/>
              <w:jc w:val="both"/>
              <w:rPr>
                <w:rFonts w:ascii="Times New Roman" w:eastAsiaTheme="minorHAnsi" w:hAnsi="Times New Roman" w:cs="Times New Roman"/>
                <w:b/>
                <w:bCs/>
                <w:sz w:val="24"/>
              </w:rPr>
            </w:pPr>
            <w:r>
              <w:rPr>
                <w:rFonts w:ascii="Times New Roman" w:hAnsi="Times New Roman"/>
                <w:b/>
                <w:sz w:val="24"/>
              </w:rPr>
              <w:t>Overige posten</w:t>
            </w:r>
          </w:p>
          <w:p w14:paraId="71B77EE9" w14:textId="278AF798" w:rsidR="00B731E6" w:rsidRPr="00166E0C" w:rsidRDefault="00AF5657" w:rsidP="00B731E6">
            <w:pPr>
              <w:spacing w:after="120"/>
              <w:jc w:val="both"/>
              <w:rPr>
                <w:rFonts w:ascii="Times New Roman" w:eastAsiaTheme="minorHAnsi" w:hAnsi="Times New Roman" w:cs="Times New Roman"/>
                <w:sz w:val="24"/>
              </w:rPr>
            </w:pPr>
            <w:r>
              <w:rPr>
                <w:rFonts w:ascii="Times New Roman" w:hAnsi="Times New Roman"/>
                <w:sz w:val="24"/>
              </w:rPr>
              <w:t>De blootstellingscategorie heeft betrekking op:</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Pr>
                <w:rFonts w:ascii="Times New Roman" w:hAnsi="Times New Roman"/>
                <w:sz w:val="24"/>
              </w:rPr>
              <w:t>- activa waarop een specifiek risicogewicht van toepassing is overeenkomstig deel drie, titel II, hoofdstuk 4, artikel 134, van Verordening (EU) nr. 575/2013;</w:t>
            </w:r>
          </w:p>
          <w:p w14:paraId="573636F2" w14:textId="044BB2FD" w:rsidR="00B731E6" w:rsidRPr="00BC439A" w:rsidRDefault="0B701945" w:rsidP="5A0D947F">
            <w:pPr>
              <w:spacing w:after="120"/>
              <w:jc w:val="both"/>
              <w:rPr>
                <w:rFonts w:ascii="Times New Roman" w:hAnsi="Times New Roman" w:cs="Times New Roman"/>
                <w:sz w:val="24"/>
              </w:rPr>
            </w:pPr>
            <w:r>
              <w:rPr>
                <w:rFonts w:ascii="Times New Roman" w:hAnsi="Times New Roman"/>
                <w:sz w:val="24"/>
              </w:rPr>
              <w:t>- activa die niet worden afgetrokken ingevolge artikel 39 van Verordening (EU) nr. 575/2013 (te veel betaalde belastingen, achterwaartse belastingverliescompensaties en uitgestelde belastingvorderingen die niet op toekomstige winstgevendheid berusten), artikel 41 van Verordening (EU) nr. 575/2013 (activa van op vaste toezeggingen gebaseerd pensioenfonds), artikel 46 en artikel 469 van Verordening (EU) nr. 575/2013 (niet-significante beleggingen in tier 1-kernkapitaal van entiteiten uit de financiële sector), artikel 49 en artikel 471 van Verordening (EU) nr. 575/2013 (deelnemingen in verzekeringsentiteiten ongeacht of verzekeringsentiteiten onder toezicht staan in het kader van de conglomeraatrichtlijn), artikel 60 en artikel 475 van Verordening (EU) nr. 575/2013 (niet-aanzienlijke en aanzienlijke directe, indirecte en synthetische beleggingen in aanvullend-tier 1-kapitaal (AT1) van entiteiten uit de financiële sector), artikel 70 en artikel 477 van Verordening (EU) nr. 575/2013 (niet-aanzienlijk en aanzienlijk direct, indirect en synthetisch bezit van T2 van een entiteit uit de financiële sector) wanneer niet-toegewezen aan andere blootstellingscategorieën, en aan in aanmerking komend bezit buiten de financiële sector als dat niet 1250 % risicogewogen is (overeenkomstig deel twee, titel I, hoofdstuk 1, artikel 36, punt k), van Verordening (EU) nr. 575/2013).</w:t>
            </w:r>
          </w:p>
        </w:tc>
      </w:tr>
      <w:tr w:rsidR="006D3144" w:rsidRPr="00BC439A" w14:paraId="5BD2F47E" w14:textId="77777777" w:rsidTr="002623A2">
        <w:trPr>
          <w:trHeight w:val="643"/>
        </w:trPr>
        <w:tc>
          <w:tcPr>
            <w:tcW w:w="1435" w:type="dxa"/>
            <w:shd w:val="clear" w:color="auto" w:fill="D9D9D9" w:themeFill="background1" w:themeFillShade="D9"/>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hAnsi="Times New Roman"/>
                <w:sz w:val="24"/>
              </w:rPr>
              <w:t>11</w:t>
            </w:r>
          </w:p>
        </w:tc>
        <w:tc>
          <w:tcPr>
            <w:tcW w:w="7632" w:type="dxa"/>
            <w:shd w:val="clear" w:color="auto" w:fill="D9D9D9" w:themeFill="background1" w:themeFillShade="D9"/>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hAnsi="Times New Roman"/>
                <w:sz w:val="24"/>
              </w:rPr>
              <w:t>Niet van toepassing</w:t>
            </w:r>
          </w:p>
        </w:tc>
      </w:tr>
      <w:tr w:rsidR="00B731E6" w:rsidRPr="001E793F" w14:paraId="11F0EEAC" w14:textId="77777777" w:rsidTr="002623A2">
        <w:trPr>
          <w:trHeight w:val="713"/>
        </w:trPr>
        <w:tc>
          <w:tcPr>
            <w:tcW w:w="1435"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r>
              <w:rPr>
                <w:rFonts w:ascii="Times New Roman" w:hAnsi="Times New Roman"/>
                <w:sz w:val="24"/>
              </w:rPr>
              <w:t>11c</w:t>
            </w:r>
          </w:p>
        </w:tc>
        <w:tc>
          <w:tcPr>
            <w:tcW w:w="7632" w:type="dxa"/>
            <w:tcBorders>
              <w:top w:val="single" w:sz="4" w:space="0" w:color="auto"/>
              <w:left w:val="single" w:sz="4" w:space="0" w:color="auto"/>
              <w:bottom w:val="single" w:sz="4" w:space="0" w:color="auto"/>
              <w:right w:val="single" w:sz="4" w:space="0" w:color="auto"/>
            </w:tcBorders>
          </w:tcPr>
          <w:p w14:paraId="4375F137" w14:textId="1E994679" w:rsidR="00AF5657" w:rsidRPr="002623A2" w:rsidRDefault="00B731E6" w:rsidP="00B731E6">
            <w:pPr>
              <w:spacing w:after="120"/>
              <w:jc w:val="both"/>
              <w:rPr>
                <w:rFonts w:ascii="Times New Roman" w:hAnsi="Times New Roman" w:cs="Times New Roman"/>
                <w:b/>
                <w:bCs/>
                <w:sz w:val="24"/>
                <w:lang w:val="fr-BE"/>
              </w:rPr>
            </w:pPr>
            <w:r w:rsidRPr="002623A2">
              <w:rPr>
                <w:rFonts w:ascii="Times New Roman" w:hAnsi="Times New Roman"/>
                <w:b/>
                <w:sz w:val="24"/>
                <w:lang w:val="fr-BE"/>
              </w:rPr>
              <w:t>Totaal</w:t>
            </w:r>
          </w:p>
          <w:p w14:paraId="463C4A08" w14:textId="7392B85F" w:rsidR="00B731E6" w:rsidRPr="002623A2" w:rsidRDefault="00AF5657" w:rsidP="00B731E6">
            <w:pPr>
              <w:spacing w:after="120"/>
              <w:jc w:val="both"/>
              <w:rPr>
                <w:rFonts w:ascii="Times New Roman" w:hAnsi="Times New Roman" w:cs="Times New Roman"/>
                <w:sz w:val="24"/>
                <w:lang w:val="fr-BE"/>
              </w:rPr>
            </w:pPr>
            <w:r w:rsidRPr="002623A2">
              <w:rPr>
                <w:rFonts w:ascii="Times New Roman" w:hAnsi="Times New Roman"/>
                <w:sz w:val="24"/>
                <w:lang w:val="fr-BE"/>
              </w:rPr>
              <w:t xml:space="preserve">Totaal van de rijen 1, 2, 3, EU 3a, 4, 5, 6, 7, 8, 9, 10, EU 10a, EU 10b, EU 10c </w:t>
            </w:r>
            <w:r w:rsidRPr="002623A2">
              <w:rPr>
                <w:rFonts w:ascii="Times New Roman" w:hAnsi="Times New Roman"/>
                <w:i/>
                <w:sz w:val="24"/>
                <w:lang w:val="fr-BE"/>
              </w:rPr>
              <w:t>supra</w:t>
            </w:r>
            <w:r w:rsidRPr="002623A2">
              <w:rPr>
                <w:rFonts w:ascii="Times New Roman" w:hAnsi="Times New Roman"/>
                <w:sz w:val="24"/>
                <w:lang w:val="fr-BE"/>
              </w:rPr>
              <w:t>.</w:t>
            </w:r>
          </w:p>
        </w:tc>
      </w:tr>
    </w:tbl>
    <w:p w14:paraId="63408E1A" w14:textId="77777777" w:rsidR="008B70BD" w:rsidRPr="00FB64CF" w:rsidRDefault="008B70BD" w:rsidP="0005278F">
      <w:pPr>
        <w:spacing w:after="120"/>
        <w:rPr>
          <w:rFonts w:ascii="Times New Roman" w:hAnsi="Times New Roman" w:cs="Times New Roman"/>
          <w:sz w:val="24"/>
          <w:lang w:val="fr-FR"/>
        </w:rPr>
      </w:pPr>
    </w:p>
    <w:p w14:paraId="137E39BA" w14:textId="67FE8595" w:rsidR="00993FC2" w:rsidRPr="00FB64CF" w:rsidRDefault="00993FC2">
      <w:pPr>
        <w:rPr>
          <w:rFonts w:ascii="Times New Roman" w:hAnsi="Times New Roman" w:cs="Times New Roman"/>
          <w:lang w:val="fr-FR"/>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3">
    <w:p w14:paraId="137E39C2" w14:textId="0AB34FC1" w:rsidR="0005278F" w:rsidRPr="00222AAB" w:rsidRDefault="0005278F" w:rsidP="0005278F">
      <w:pPr>
        <w:pStyle w:val="FootnoteText"/>
        <w:rPr>
          <w:rFonts w:cstheme="minorHAnsi"/>
        </w:rPr>
      </w:pPr>
      <w:r>
        <w:rPr>
          <w:rStyle w:val="FootnoteReference"/>
          <w:rFonts w:cstheme="minorHAnsi"/>
        </w:rPr>
        <w:footnoteRef/>
      </w:r>
      <w:r>
        <w:t xml:space="preserve"> </w:t>
      </w:r>
      <w:r w:rsidR="002623A2">
        <w:rPr>
          <w:rFonts w:cstheme="minorHAnsi"/>
        </w:rPr>
        <w:tab/>
      </w:r>
      <w:r>
        <w:t>Gedelegeerde Verordening (EU) nr. 183/2014 van de Commissie van 20 december 2013 tot aanvulling van Verordening (EU) nr. 575/2013 van het Europees Parlement en de Raad betreffende prudentiële vereisten voor kredietinstellingen en beleggingsondernemingen ten aanzien van technische reguleringsnormen voor het specificeren van de berekening van specifieke en algemene kredietrisicoaanpassingen (PB L 57 van 27.2.2014, blz.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1E793F"/>
    <w:rsid w:val="002050A2"/>
    <w:rsid w:val="0022219D"/>
    <w:rsid w:val="00240B1D"/>
    <w:rsid w:val="00241526"/>
    <w:rsid w:val="002623A2"/>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28F1"/>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0A101658-87F7-437E-BB9E-CF6E512768CD}"/>
</file>

<file path=customXml/itemProps3.xml><?xml version="1.0" encoding="utf-8"?>
<ds:datastoreItem xmlns:ds="http://schemas.openxmlformats.org/officeDocument/2006/customXml" ds:itemID="{3D47F33D-080E-47BB-8273-F2BEBEB3229E}"/>
</file>

<file path=customXml/itemProps4.xml><?xml version="1.0" encoding="utf-8"?>
<ds:datastoreItem xmlns:ds="http://schemas.openxmlformats.org/officeDocument/2006/customXml" ds:itemID="{A9A2E50E-6618-4035-834B-3A881A940931}"/>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3387</Words>
  <Characters>20322</Characters>
  <Application>Microsoft Office Word</Application>
  <DocSecurity>0</DocSecurity>
  <Lines>495</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2024-09-30T09:13:00Z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